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0E6CE" w14:textId="41DF4195" w:rsidR="00675E40" w:rsidRDefault="00675E40" w:rsidP="00675E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5E40">
        <w:rPr>
          <w:rFonts w:ascii="Times New Roman" w:hAnsi="Times New Roman" w:cs="Times New Roman"/>
          <w:b/>
          <w:bCs/>
          <w:sz w:val="28"/>
          <w:szCs w:val="28"/>
        </w:rPr>
        <w:t>Induced Abortion in Global Perspective</w:t>
      </w:r>
    </w:p>
    <w:p w14:paraId="15AEB884" w14:textId="438AD5DB" w:rsidR="00675E40" w:rsidRPr="00675E40" w:rsidRDefault="00675E40" w:rsidP="00675E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The International Institute for Reproductive Loss</w:t>
      </w:r>
    </w:p>
    <w:p w14:paraId="6661BCE0" w14:textId="65F9AE96" w:rsidR="00675E40" w:rsidRPr="00675E40" w:rsidRDefault="00675E40" w:rsidP="00675E40">
      <w:pPr>
        <w:rPr>
          <w:rFonts w:ascii="Times New Roman" w:hAnsi="Times New Roman" w:cs="Times New Roman"/>
        </w:rPr>
      </w:pPr>
      <w:r w:rsidRPr="00675E40">
        <w:rPr>
          <w:rFonts w:ascii="Times New Roman" w:hAnsi="Times New Roman" w:cs="Times New Roman"/>
        </w:rPr>
        <w:t>Induced abortion remains a common reproductive event, with an estimated 73 million procedures each year worldwide</w:t>
      </w:r>
      <w:r w:rsidR="00187282">
        <w:rPr>
          <w:rFonts w:ascii="Times New Roman" w:hAnsi="Times New Roman" w:cs="Times New Roman"/>
        </w:rPr>
        <w:t>. However, contemporary patterns vary widely across continents due</w:t>
      </w:r>
      <w:r w:rsidRPr="00675E40">
        <w:rPr>
          <w:rFonts w:ascii="Times New Roman" w:hAnsi="Times New Roman" w:cs="Times New Roman"/>
        </w:rPr>
        <w:t xml:space="preserve"> to differences in fertility, contraceptive access, health-system capacity, and service delivery models. Over the past decade, and especially since 2020, large multicounty modelling projects and a surge of country-level observational studies have sharpened our understanding of current abortion incidence, </w:t>
      </w:r>
      <w:r w:rsidR="00E62CF9">
        <w:rPr>
          <w:rFonts w:ascii="Times New Roman" w:hAnsi="Times New Roman" w:cs="Times New Roman"/>
        </w:rPr>
        <w:t xml:space="preserve">types of </w:t>
      </w:r>
      <w:r w:rsidRPr="00675E40">
        <w:rPr>
          <w:rFonts w:ascii="Times New Roman" w:hAnsi="Times New Roman" w:cs="Times New Roman"/>
        </w:rPr>
        <w:t>procedure</w:t>
      </w:r>
      <w:r w:rsidR="00E62CF9">
        <w:rPr>
          <w:rFonts w:ascii="Times New Roman" w:hAnsi="Times New Roman" w:cs="Times New Roman"/>
        </w:rPr>
        <w:t>s offered</w:t>
      </w:r>
      <w:r w:rsidRPr="00675E40">
        <w:rPr>
          <w:rFonts w:ascii="Times New Roman" w:hAnsi="Times New Roman" w:cs="Times New Roman"/>
        </w:rPr>
        <w:t xml:space="preserve">, and user demographics. This report synthesizes </w:t>
      </w:r>
      <w:r w:rsidR="00E62CF9">
        <w:rPr>
          <w:rFonts w:ascii="Times New Roman" w:hAnsi="Times New Roman" w:cs="Times New Roman"/>
        </w:rPr>
        <w:t xml:space="preserve">peer-reviewed </w:t>
      </w:r>
      <w:r w:rsidRPr="00675E40">
        <w:rPr>
          <w:rFonts w:ascii="Times New Roman" w:hAnsi="Times New Roman" w:cs="Times New Roman"/>
        </w:rPr>
        <w:t>findings to provide a continent-by-continent statistical portrait. Only empirical indicators (rates, counts, procedure shares, age or parity distributions) are described; legal frameworks and political debates are not addressed.</w:t>
      </w:r>
    </w:p>
    <w:p w14:paraId="4E97C629" w14:textId="62C54C38" w:rsidR="00675E40" w:rsidRPr="00675E40" w:rsidRDefault="00675E40" w:rsidP="00675E40">
      <w:pPr>
        <w:rPr>
          <w:rFonts w:ascii="Times New Roman" w:hAnsi="Times New Roman" w:cs="Times New Roman"/>
        </w:rPr>
      </w:pPr>
      <w:r w:rsidRPr="00675E40">
        <w:rPr>
          <w:rFonts w:ascii="Times New Roman" w:hAnsi="Times New Roman" w:cs="Times New Roman"/>
        </w:rPr>
        <w:t>Structured searches of PubMed, Scopus</w:t>
      </w:r>
      <w:r w:rsidR="00C11465">
        <w:rPr>
          <w:rFonts w:ascii="Times New Roman" w:hAnsi="Times New Roman" w:cs="Times New Roman"/>
        </w:rPr>
        <w:t>,</w:t>
      </w:r>
      <w:r w:rsidRPr="00675E40">
        <w:rPr>
          <w:rFonts w:ascii="Times New Roman" w:hAnsi="Times New Roman" w:cs="Times New Roman"/>
        </w:rPr>
        <w:t xml:space="preserve"> and Web of Science (January 2017 – April 2025) retrieved English-language journal articles that reported primary abortion statistics for a defined population or were produced by well-cited consortia (e.g., WHO/HRP, BMJ Global Health). Where multiple overlapping estimates existed, the most recent peer-reviewed source was favored. Rates are expressed as abortions per </w:t>
      </w:r>
      <w:r w:rsidR="00C11465">
        <w:rPr>
          <w:rFonts w:ascii="Times New Roman" w:hAnsi="Times New Roman" w:cs="Times New Roman"/>
        </w:rPr>
        <w:t>1,000</w:t>
      </w:r>
      <w:r w:rsidRPr="00675E40">
        <w:rPr>
          <w:rFonts w:ascii="Times New Roman" w:hAnsi="Times New Roman" w:cs="Times New Roman"/>
        </w:rPr>
        <w:t xml:space="preserve"> women aged 15-49 unless otherwise noted; totals are annual counts. Medication abortion (mifepristone ± misoprostol) is abbreviated MA; surgical procedures include suction evacuation, dilation-and-curettage (D&amp;C) or dilation-and-evacuation (D&amp;E). All figures are rounded </w:t>
      </w:r>
      <w:r w:rsidR="00CB14E5">
        <w:rPr>
          <w:rFonts w:ascii="Times New Roman" w:hAnsi="Times New Roman" w:cs="Times New Roman"/>
        </w:rPr>
        <w:t xml:space="preserve">to be more readily interpreted. </w:t>
      </w:r>
    </w:p>
    <w:p w14:paraId="4220F72E" w14:textId="4FFF3470" w:rsidR="00675E40" w:rsidRPr="00675E40" w:rsidRDefault="00675E40" w:rsidP="00675E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5E40">
        <w:rPr>
          <w:rFonts w:ascii="Times New Roman" w:hAnsi="Times New Roman" w:cs="Times New Roman"/>
          <w:b/>
          <w:bCs/>
          <w:sz w:val="28"/>
          <w:szCs w:val="28"/>
        </w:rPr>
        <w:t>Africa</w:t>
      </w:r>
    </w:p>
    <w:p w14:paraId="05B77D13" w14:textId="77777777" w:rsidR="00675E40" w:rsidRPr="00675E40" w:rsidRDefault="00675E40" w:rsidP="00675E40">
      <w:pPr>
        <w:rPr>
          <w:rFonts w:ascii="Times New Roman" w:hAnsi="Times New Roman" w:cs="Times New Roman"/>
          <w:b/>
          <w:bCs/>
          <w:i/>
          <w:iCs/>
        </w:rPr>
      </w:pPr>
      <w:r w:rsidRPr="00675E40">
        <w:rPr>
          <w:rFonts w:ascii="Times New Roman" w:hAnsi="Times New Roman" w:cs="Times New Roman"/>
          <w:b/>
          <w:bCs/>
          <w:i/>
          <w:iCs/>
        </w:rPr>
        <w:t>Incidence</w:t>
      </w:r>
    </w:p>
    <w:p w14:paraId="6B4601D0" w14:textId="478FC3BB" w:rsidR="00675E40" w:rsidRPr="00675E40" w:rsidRDefault="00675E40" w:rsidP="00675E40">
      <w:pPr>
        <w:rPr>
          <w:rFonts w:ascii="Times New Roman" w:hAnsi="Times New Roman" w:cs="Times New Roman"/>
        </w:rPr>
      </w:pPr>
      <w:r w:rsidRPr="00675E40">
        <w:rPr>
          <w:rFonts w:ascii="Times New Roman" w:hAnsi="Times New Roman" w:cs="Times New Roman"/>
        </w:rPr>
        <w:t xml:space="preserve">The latest synthesis covering 54 African countries estimated </w:t>
      </w:r>
      <w:r w:rsidR="00E62CF9">
        <w:rPr>
          <w:rFonts w:ascii="Times New Roman" w:hAnsi="Times New Roman" w:cs="Times New Roman"/>
        </w:rPr>
        <w:t>approximately</w:t>
      </w:r>
      <w:r w:rsidRPr="00675E40">
        <w:rPr>
          <w:rFonts w:ascii="Times New Roman" w:hAnsi="Times New Roman" w:cs="Times New Roman"/>
        </w:rPr>
        <w:t xml:space="preserve"> 8.1 million abortions annually for 2015-2019</w:t>
      </w:r>
      <w:r w:rsidR="007D46FE">
        <w:rPr>
          <w:rFonts w:ascii="Times New Roman" w:hAnsi="Times New Roman" w:cs="Times New Roman"/>
        </w:rPr>
        <w:t xml:space="preserve">, </w:t>
      </w:r>
      <w:r w:rsidRPr="00675E40">
        <w:rPr>
          <w:rFonts w:ascii="Times New Roman" w:hAnsi="Times New Roman" w:cs="Times New Roman"/>
        </w:rPr>
        <w:t>an average rate of 33/</w:t>
      </w:r>
      <w:r w:rsidR="00CB14E5">
        <w:rPr>
          <w:rFonts w:ascii="Times New Roman" w:hAnsi="Times New Roman" w:cs="Times New Roman"/>
        </w:rPr>
        <w:t>1,000</w:t>
      </w:r>
      <w:r w:rsidRPr="00675E40">
        <w:rPr>
          <w:rFonts w:ascii="Times New Roman" w:hAnsi="Times New Roman" w:cs="Times New Roman"/>
        </w:rPr>
        <w:t xml:space="preserve"> (UI 25-41). National studies highlight heterogeneity:</w:t>
      </w:r>
    </w:p>
    <w:p w14:paraId="77C08670" w14:textId="5C2AE21F" w:rsidR="00675E40" w:rsidRPr="00675E40" w:rsidRDefault="00675E40" w:rsidP="00675E4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75E40">
        <w:rPr>
          <w:rFonts w:ascii="Times New Roman" w:hAnsi="Times New Roman" w:cs="Times New Roman"/>
        </w:rPr>
        <w:t>Niger (2021): a nationally representative friend-method survey yielded 6.7/</w:t>
      </w:r>
      <w:r w:rsidR="00CB14E5">
        <w:rPr>
          <w:rFonts w:ascii="Times New Roman" w:hAnsi="Times New Roman" w:cs="Times New Roman"/>
        </w:rPr>
        <w:t>1,000</w:t>
      </w:r>
      <w:r w:rsidR="007D46FE">
        <w:rPr>
          <w:rFonts w:ascii="Times New Roman" w:hAnsi="Times New Roman" w:cs="Times New Roman"/>
        </w:rPr>
        <w:t>.</w:t>
      </w:r>
    </w:p>
    <w:p w14:paraId="2FF27CE3" w14:textId="328E1549" w:rsidR="00675E40" w:rsidRPr="00675E40" w:rsidRDefault="00675E40" w:rsidP="00675E4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75E40">
        <w:rPr>
          <w:rFonts w:ascii="Times New Roman" w:hAnsi="Times New Roman" w:cs="Times New Roman"/>
        </w:rPr>
        <w:t>Kenya (2019) and Uganda (2020) modelled rates &gt; 40/</w:t>
      </w:r>
      <w:r w:rsidR="00CB14E5">
        <w:rPr>
          <w:rFonts w:ascii="Times New Roman" w:hAnsi="Times New Roman" w:cs="Times New Roman"/>
        </w:rPr>
        <w:t>1,000</w:t>
      </w:r>
      <w:r w:rsidR="00E02537">
        <w:rPr>
          <w:rFonts w:ascii="Times New Roman" w:hAnsi="Times New Roman" w:cs="Times New Roman"/>
        </w:rPr>
        <w:t>.</w:t>
      </w:r>
      <w:r w:rsidRPr="00675E40">
        <w:rPr>
          <w:rFonts w:ascii="Times New Roman" w:hAnsi="Times New Roman" w:cs="Times New Roman"/>
        </w:rPr>
        <w:t xml:space="preserve"> </w:t>
      </w:r>
    </w:p>
    <w:p w14:paraId="2542D970" w14:textId="5DBCFE65" w:rsidR="00E02537" w:rsidRDefault="00675E40" w:rsidP="00675E40">
      <w:pPr>
        <w:rPr>
          <w:rFonts w:ascii="Times New Roman" w:hAnsi="Times New Roman" w:cs="Times New Roman"/>
        </w:rPr>
      </w:pPr>
      <w:r w:rsidRPr="00675E40">
        <w:rPr>
          <w:rFonts w:ascii="Times New Roman" w:hAnsi="Times New Roman" w:cs="Times New Roman"/>
        </w:rPr>
        <w:t>A six-country pooled analysis of Demographic &amp; Health Surveys (DHS) found a 9.8% lifetime prevalence of pregnancy termination, peaking among women aged 25-34 years</w:t>
      </w:r>
      <w:r w:rsidR="00E02537">
        <w:rPr>
          <w:rFonts w:ascii="Times New Roman" w:hAnsi="Times New Roman" w:cs="Times New Roman"/>
        </w:rPr>
        <w:t>.</w:t>
      </w:r>
      <w:r w:rsidRPr="00675E40">
        <w:rPr>
          <w:rFonts w:ascii="Times New Roman" w:hAnsi="Times New Roman" w:cs="Times New Roman"/>
        </w:rPr>
        <w:t xml:space="preserve"> </w:t>
      </w:r>
    </w:p>
    <w:p w14:paraId="1B1A3104" w14:textId="3FEA942A" w:rsidR="00675E40" w:rsidRPr="00675E40" w:rsidRDefault="00675E40" w:rsidP="00675E40">
      <w:pPr>
        <w:rPr>
          <w:rFonts w:ascii="Times New Roman" w:hAnsi="Times New Roman" w:cs="Times New Roman"/>
          <w:b/>
          <w:bCs/>
          <w:i/>
          <w:iCs/>
        </w:rPr>
      </w:pPr>
      <w:r w:rsidRPr="00675E40">
        <w:rPr>
          <w:rFonts w:ascii="Times New Roman" w:hAnsi="Times New Roman" w:cs="Times New Roman"/>
          <w:b/>
          <w:bCs/>
          <w:i/>
          <w:iCs/>
        </w:rPr>
        <w:t>Procedures</w:t>
      </w:r>
    </w:p>
    <w:p w14:paraId="56D7282A" w14:textId="5E75319E" w:rsidR="00675E40" w:rsidRPr="00675E40" w:rsidRDefault="00675E40" w:rsidP="00675E40">
      <w:pPr>
        <w:rPr>
          <w:rFonts w:ascii="Times New Roman" w:hAnsi="Times New Roman" w:cs="Times New Roman"/>
        </w:rPr>
      </w:pPr>
      <w:r w:rsidRPr="00675E40">
        <w:rPr>
          <w:rFonts w:ascii="Times New Roman" w:hAnsi="Times New Roman" w:cs="Times New Roman"/>
        </w:rPr>
        <w:t>Facility audits in South Africa, Ghana</w:t>
      </w:r>
      <w:r w:rsidR="007D46FE">
        <w:rPr>
          <w:rFonts w:ascii="Times New Roman" w:hAnsi="Times New Roman" w:cs="Times New Roman"/>
        </w:rPr>
        <w:t>,</w:t>
      </w:r>
      <w:r w:rsidRPr="00675E40">
        <w:rPr>
          <w:rFonts w:ascii="Times New Roman" w:hAnsi="Times New Roman" w:cs="Times New Roman"/>
        </w:rPr>
        <w:t xml:space="preserve"> and Ethiopia show an accelerating shift toward MA for pregnancies ≤ 9 weeks, with MA constituting 45-60% of first-trimester terminations by 2023 (WHO/HRP </w:t>
      </w:r>
      <w:proofErr w:type="spellStart"/>
      <w:r w:rsidRPr="00675E40">
        <w:rPr>
          <w:rFonts w:ascii="Times New Roman" w:hAnsi="Times New Roman" w:cs="Times New Roman"/>
        </w:rPr>
        <w:t>Multicountry</w:t>
      </w:r>
      <w:proofErr w:type="spellEnd"/>
      <w:r w:rsidRPr="00675E40">
        <w:rPr>
          <w:rFonts w:ascii="Times New Roman" w:hAnsi="Times New Roman" w:cs="Times New Roman"/>
        </w:rPr>
        <w:t xml:space="preserve"> Survey 2021). Manual vacuum aspiration (MVA) remains the dominant surgical technique in public facilities; D&amp;E is </w:t>
      </w:r>
      <w:r w:rsidR="00C11465">
        <w:rPr>
          <w:rFonts w:ascii="Times New Roman" w:hAnsi="Times New Roman" w:cs="Times New Roman"/>
        </w:rPr>
        <w:t>confined mainly</w:t>
      </w:r>
      <w:r w:rsidRPr="00675E40">
        <w:rPr>
          <w:rFonts w:ascii="Times New Roman" w:hAnsi="Times New Roman" w:cs="Times New Roman"/>
        </w:rPr>
        <w:t xml:space="preserve"> to tertiary </w:t>
      </w:r>
      <w:r w:rsidR="00E62CF9" w:rsidRPr="00675E40">
        <w:rPr>
          <w:rFonts w:ascii="Times New Roman" w:hAnsi="Times New Roman" w:cs="Times New Roman"/>
        </w:rPr>
        <w:t>centers</w:t>
      </w:r>
      <w:r w:rsidRPr="00675E40">
        <w:rPr>
          <w:rFonts w:ascii="Times New Roman" w:hAnsi="Times New Roman" w:cs="Times New Roman"/>
        </w:rPr>
        <w:t xml:space="preserve"> for gestations ≥ 13 weeks.</w:t>
      </w:r>
    </w:p>
    <w:p w14:paraId="172CB890" w14:textId="77777777" w:rsidR="00675E40" w:rsidRPr="00675E40" w:rsidRDefault="00675E40" w:rsidP="00675E40">
      <w:pPr>
        <w:rPr>
          <w:rFonts w:ascii="Times New Roman" w:hAnsi="Times New Roman" w:cs="Times New Roman"/>
          <w:b/>
          <w:bCs/>
          <w:i/>
          <w:iCs/>
        </w:rPr>
      </w:pPr>
      <w:r w:rsidRPr="00675E40">
        <w:rPr>
          <w:rFonts w:ascii="Times New Roman" w:hAnsi="Times New Roman" w:cs="Times New Roman"/>
          <w:b/>
          <w:bCs/>
          <w:i/>
          <w:iCs/>
        </w:rPr>
        <w:lastRenderedPageBreak/>
        <w:t>Demographics</w:t>
      </w:r>
    </w:p>
    <w:p w14:paraId="29B135F8" w14:textId="50FD5B35" w:rsidR="00675E40" w:rsidRPr="00675E40" w:rsidRDefault="00E62CF9" w:rsidP="00675E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675E40" w:rsidRPr="00675E40">
        <w:rPr>
          <w:rFonts w:ascii="Times New Roman" w:hAnsi="Times New Roman" w:cs="Times New Roman"/>
        </w:rPr>
        <w:t xml:space="preserve">ypical abortion clients are urban, married or </w:t>
      </w:r>
      <w:r w:rsidR="00E02537">
        <w:rPr>
          <w:rFonts w:ascii="Times New Roman" w:hAnsi="Times New Roman" w:cs="Times New Roman"/>
        </w:rPr>
        <w:t>cohabiting women in their twenties, many already mothers of ≥ 1 child</w:t>
      </w:r>
      <w:r w:rsidR="00675E40" w:rsidRPr="00675E40">
        <w:rPr>
          <w:rFonts w:ascii="Times New Roman" w:hAnsi="Times New Roman" w:cs="Times New Roman"/>
        </w:rPr>
        <w:t>. Adolescents (&lt; 20 y) contribute a smaller proportion</w:t>
      </w:r>
      <w:r w:rsidR="007D46FE">
        <w:rPr>
          <w:rFonts w:ascii="Times New Roman" w:hAnsi="Times New Roman" w:cs="Times New Roman"/>
        </w:rPr>
        <w:t xml:space="preserve">, </w:t>
      </w:r>
      <w:r w:rsidR="00675E40" w:rsidRPr="00675E40">
        <w:rPr>
          <w:rFonts w:ascii="Times New Roman" w:hAnsi="Times New Roman" w:cs="Times New Roman"/>
        </w:rPr>
        <w:t>often &lt; 10%</w:t>
      </w:r>
      <w:r w:rsidR="007D46FE">
        <w:rPr>
          <w:rFonts w:ascii="Times New Roman" w:hAnsi="Times New Roman" w:cs="Times New Roman"/>
        </w:rPr>
        <w:t xml:space="preserve">, </w:t>
      </w:r>
      <w:r w:rsidR="00675E40" w:rsidRPr="00675E40">
        <w:rPr>
          <w:rFonts w:ascii="Times New Roman" w:hAnsi="Times New Roman" w:cs="Times New Roman"/>
        </w:rPr>
        <w:t>but experience higher post-procedure complication rates when surveyed.</w:t>
      </w:r>
    </w:p>
    <w:p w14:paraId="017F141E" w14:textId="77777777" w:rsidR="00675E40" w:rsidRPr="00675E40" w:rsidRDefault="00675E40" w:rsidP="00675E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5E40">
        <w:rPr>
          <w:rFonts w:ascii="Times New Roman" w:hAnsi="Times New Roman" w:cs="Times New Roman"/>
          <w:b/>
          <w:bCs/>
          <w:sz w:val="28"/>
          <w:szCs w:val="28"/>
        </w:rPr>
        <w:t>Asia</w:t>
      </w:r>
    </w:p>
    <w:p w14:paraId="03336691" w14:textId="77777777" w:rsidR="00675E40" w:rsidRPr="00675E40" w:rsidRDefault="00675E40" w:rsidP="00675E40">
      <w:pPr>
        <w:rPr>
          <w:rFonts w:ascii="Times New Roman" w:hAnsi="Times New Roman" w:cs="Times New Roman"/>
          <w:b/>
          <w:bCs/>
          <w:i/>
          <w:iCs/>
        </w:rPr>
      </w:pPr>
      <w:r w:rsidRPr="00675E40">
        <w:rPr>
          <w:rFonts w:ascii="Times New Roman" w:hAnsi="Times New Roman" w:cs="Times New Roman"/>
          <w:b/>
          <w:bCs/>
          <w:i/>
          <w:iCs/>
        </w:rPr>
        <w:t>Incidence</w:t>
      </w:r>
    </w:p>
    <w:p w14:paraId="65F28DD5" w14:textId="7C1A8F64" w:rsidR="00675E40" w:rsidRPr="00675E40" w:rsidRDefault="00675E40" w:rsidP="00675E40">
      <w:pPr>
        <w:rPr>
          <w:rFonts w:ascii="Times New Roman" w:hAnsi="Times New Roman" w:cs="Times New Roman"/>
        </w:rPr>
      </w:pPr>
      <w:r w:rsidRPr="00675E40">
        <w:rPr>
          <w:rFonts w:ascii="Times New Roman" w:hAnsi="Times New Roman" w:cs="Times New Roman"/>
        </w:rPr>
        <w:t>Asia records the largest absolute number of abortions</w:t>
      </w:r>
      <w:r w:rsidR="007D46FE">
        <w:rPr>
          <w:rFonts w:ascii="Times New Roman" w:hAnsi="Times New Roman" w:cs="Times New Roman"/>
        </w:rPr>
        <w:t xml:space="preserve">, with </w:t>
      </w:r>
      <w:r w:rsidRPr="00675E40">
        <w:rPr>
          <w:rFonts w:ascii="Times New Roman" w:hAnsi="Times New Roman" w:cs="Times New Roman"/>
        </w:rPr>
        <w:t>a pooled continental rate of 39/</w:t>
      </w:r>
      <w:r w:rsidR="00CB14E5">
        <w:rPr>
          <w:rFonts w:ascii="Times New Roman" w:hAnsi="Times New Roman" w:cs="Times New Roman"/>
        </w:rPr>
        <w:t>1,000</w:t>
      </w:r>
      <w:r w:rsidRPr="00675E40">
        <w:rPr>
          <w:rFonts w:ascii="Times New Roman" w:hAnsi="Times New Roman" w:cs="Times New Roman"/>
        </w:rPr>
        <w:t xml:space="preserve"> and </w:t>
      </w:r>
      <w:r w:rsidR="00E62CF9">
        <w:rPr>
          <w:rFonts w:ascii="Times New Roman" w:hAnsi="Times New Roman" w:cs="Times New Roman"/>
        </w:rPr>
        <w:t>approximately</w:t>
      </w:r>
      <w:r w:rsidRPr="00675E40">
        <w:rPr>
          <w:rFonts w:ascii="Times New Roman" w:hAnsi="Times New Roman" w:cs="Times New Roman"/>
        </w:rPr>
        <w:t xml:space="preserve"> 34 million abortions/year</w:t>
      </w:r>
      <w:r w:rsidR="00E02537">
        <w:rPr>
          <w:rFonts w:ascii="Times New Roman" w:hAnsi="Times New Roman" w:cs="Times New Roman"/>
        </w:rPr>
        <w:t>.</w:t>
      </w:r>
      <w:r w:rsidRPr="00675E40">
        <w:rPr>
          <w:rFonts w:ascii="Times New Roman" w:hAnsi="Times New Roman" w:cs="Times New Roman"/>
        </w:rPr>
        <w:t xml:space="preserve"> Country-specific studies illustrate extremes</w:t>
      </w:r>
      <w:r w:rsidR="00E62CF9">
        <w:rPr>
          <w:rFonts w:ascii="Times New Roman" w:hAnsi="Times New Roman" w:cs="Times New Roman"/>
        </w:rPr>
        <w:t>, for example,</w:t>
      </w:r>
    </w:p>
    <w:p w14:paraId="253822D2" w14:textId="5954C3D3" w:rsidR="00675E40" w:rsidRPr="00675E40" w:rsidRDefault="00675E40" w:rsidP="00675E4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75E40">
        <w:rPr>
          <w:rFonts w:ascii="Times New Roman" w:hAnsi="Times New Roman" w:cs="Times New Roman"/>
        </w:rPr>
        <w:t>Pakistan (2023): 66/</w:t>
      </w:r>
      <w:r w:rsidR="00CB14E5">
        <w:rPr>
          <w:rFonts w:ascii="Times New Roman" w:hAnsi="Times New Roman" w:cs="Times New Roman"/>
        </w:rPr>
        <w:t>1,000</w:t>
      </w:r>
      <w:r w:rsidRPr="00675E40">
        <w:rPr>
          <w:rFonts w:ascii="Times New Roman" w:hAnsi="Times New Roman" w:cs="Times New Roman"/>
        </w:rPr>
        <w:t xml:space="preserve"> with 3.8 million abortions</w:t>
      </w:r>
      <w:r w:rsidR="00E62CF9">
        <w:rPr>
          <w:rFonts w:ascii="Times New Roman" w:hAnsi="Times New Roman" w:cs="Times New Roman"/>
        </w:rPr>
        <w:t xml:space="preserve"> or </w:t>
      </w:r>
      <w:r w:rsidRPr="00675E40">
        <w:rPr>
          <w:rFonts w:ascii="Times New Roman" w:hAnsi="Times New Roman" w:cs="Times New Roman"/>
        </w:rPr>
        <w:t>64% of unintended pregnancies</w:t>
      </w:r>
      <w:r w:rsidR="00E02537">
        <w:rPr>
          <w:rFonts w:ascii="Times New Roman" w:hAnsi="Times New Roman" w:cs="Times New Roman"/>
        </w:rPr>
        <w:t>.</w:t>
      </w:r>
      <w:r w:rsidRPr="00675E40">
        <w:rPr>
          <w:rFonts w:ascii="Times New Roman" w:hAnsi="Times New Roman" w:cs="Times New Roman"/>
        </w:rPr>
        <w:t xml:space="preserve"> </w:t>
      </w:r>
    </w:p>
    <w:p w14:paraId="759C95DF" w14:textId="49F736CC" w:rsidR="00675E40" w:rsidRPr="00675E40" w:rsidRDefault="00675E40" w:rsidP="00675E4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75E40">
        <w:rPr>
          <w:rFonts w:ascii="Times New Roman" w:hAnsi="Times New Roman" w:cs="Times New Roman"/>
        </w:rPr>
        <w:t>Japan (2022): 8.4/</w:t>
      </w:r>
      <w:r w:rsidR="00CB14E5">
        <w:rPr>
          <w:rFonts w:ascii="Times New Roman" w:hAnsi="Times New Roman" w:cs="Times New Roman"/>
        </w:rPr>
        <w:t>1,000</w:t>
      </w:r>
      <w:r w:rsidRPr="00675E40">
        <w:rPr>
          <w:rFonts w:ascii="Times New Roman" w:hAnsi="Times New Roman" w:cs="Times New Roman"/>
        </w:rPr>
        <w:t>, among the lowest in Asia</w:t>
      </w:r>
      <w:r w:rsidR="00E62CF9">
        <w:rPr>
          <w:rFonts w:ascii="Times New Roman" w:hAnsi="Times New Roman" w:cs="Times New Roman"/>
        </w:rPr>
        <w:t>.</w:t>
      </w:r>
    </w:p>
    <w:p w14:paraId="132E8613" w14:textId="77777777" w:rsidR="00675E40" w:rsidRPr="00675E40" w:rsidRDefault="00675E40" w:rsidP="00675E40">
      <w:pPr>
        <w:rPr>
          <w:rFonts w:ascii="Times New Roman" w:hAnsi="Times New Roman" w:cs="Times New Roman"/>
          <w:b/>
          <w:bCs/>
          <w:i/>
          <w:iCs/>
        </w:rPr>
      </w:pPr>
      <w:r w:rsidRPr="00675E40">
        <w:rPr>
          <w:rFonts w:ascii="Times New Roman" w:hAnsi="Times New Roman" w:cs="Times New Roman"/>
          <w:b/>
          <w:bCs/>
          <w:i/>
          <w:iCs/>
        </w:rPr>
        <w:t>Procedures</w:t>
      </w:r>
    </w:p>
    <w:p w14:paraId="7ADA3654" w14:textId="3A04F4EC" w:rsidR="00675E40" w:rsidRPr="00675E40" w:rsidRDefault="00675E40" w:rsidP="00675E40">
      <w:pPr>
        <w:rPr>
          <w:rFonts w:ascii="Times New Roman" w:hAnsi="Times New Roman" w:cs="Times New Roman"/>
        </w:rPr>
      </w:pPr>
      <w:r w:rsidRPr="00675E40">
        <w:rPr>
          <w:rFonts w:ascii="Times New Roman" w:hAnsi="Times New Roman" w:cs="Times New Roman"/>
        </w:rPr>
        <w:t xml:space="preserve">Eastern and </w:t>
      </w:r>
      <w:r w:rsidR="00C11465">
        <w:rPr>
          <w:rFonts w:ascii="Times New Roman" w:hAnsi="Times New Roman" w:cs="Times New Roman"/>
        </w:rPr>
        <w:t>Southeast</w:t>
      </w:r>
      <w:r w:rsidR="00E62CF9">
        <w:rPr>
          <w:rFonts w:ascii="Times New Roman" w:hAnsi="Times New Roman" w:cs="Times New Roman"/>
        </w:rPr>
        <w:t xml:space="preserve"> </w:t>
      </w:r>
      <w:r w:rsidRPr="00675E40">
        <w:rPr>
          <w:rFonts w:ascii="Times New Roman" w:hAnsi="Times New Roman" w:cs="Times New Roman"/>
        </w:rPr>
        <w:t>Asian services report a rapid MA uptake. In a nine-hospital Chinese cohort (2019-2021), MA rose from 55% to 71% of ≤ 9-week procedures, while surgical suction dominated beyond 10 weeks. Tele-consultation models piloted during COVID-19 in Thailand, India</w:t>
      </w:r>
      <w:r w:rsidR="00C11465">
        <w:rPr>
          <w:rFonts w:ascii="Times New Roman" w:hAnsi="Times New Roman" w:cs="Times New Roman"/>
        </w:rPr>
        <w:t>,</w:t>
      </w:r>
      <w:r w:rsidRPr="00675E40">
        <w:rPr>
          <w:rFonts w:ascii="Times New Roman" w:hAnsi="Times New Roman" w:cs="Times New Roman"/>
        </w:rPr>
        <w:t xml:space="preserve"> and Viet Nam achieved &gt; 95 % complete MA to 12 weeks (WHO/HRP Multi</w:t>
      </w:r>
      <w:r w:rsidR="0057556A">
        <w:rPr>
          <w:rFonts w:ascii="Times New Roman" w:hAnsi="Times New Roman" w:cs="Times New Roman"/>
        </w:rPr>
        <w:t>-</w:t>
      </w:r>
      <w:r w:rsidRPr="00675E40">
        <w:rPr>
          <w:rFonts w:ascii="Times New Roman" w:hAnsi="Times New Roman" w:cs="Times New Roman"/>
        </w:rPr>
        <w:t>country Survey 2021)</w:t>
      </w:r>
      <w:r w:rsidR="00E02537">
        <w:rPr>
          <w:rFonts w:ascii="Times New Roman" w:hAnsi="Times New Roman" w:cs="Times New Roman"/>
        </w:rPr>
        <w:t>.</w:t>
      </w:r>
      <w:r w:rsidRPr="00675E40">
        <w:rPr>
          <w:rFonts w:ascii="Times New Roman" w:hAnsi="Times New Roman" w:cs="Times New Roman"/>
        </w:rPr>
        <w:t xml:space="preserve"> </w:t>
      </w:r>
    </w:p>
    <w:p w14:paraId="206333E5" w14:textId="77777777" w:rsidR="00675E40" w:rsidRPr="00675E40" w:rsidRDefault="00675E40" w:rsidP="00675E40">
      <w:pPr>
        <w:rPr>
          <w:rFonts w:ascii="Times New Roman" w:hAnsi="Times New Roman" w:cs="Times New Roman"/>
          <w:b/>
          <w:bCs/>
          <w:i/>
          <w:iCs/>
        </w:rPr>
      </w:pPr>
      <w:r w:rsidRPr="00675E40">
        <w:rPr>
          <w:rFonts w:ascii="Times New Roman" w:hAnsi="Times New Roman" w:cs="Times New Roman"/>
          <w:b/>
          <w:bCs/>
          <w:i/>
          <w:iCs/>
        </w:rPr>
        <w:t>Demographics</w:t>
      </w:r>
    </w:p>
    <w:p w14:paraId="18CAA9F1" w14:textId="6B34CBD6" w:rsidR="00675E40" w:rsidRPr="00675E40" w:rsidRDefault="00675E40" w:rsidP="00675E4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75E40">
        <w:rPr>
          <w:rFonts w:ascii="Times New Roman" w:hAnsi="Times New Roman" w:cs="Times New Roman"/>
        </w:rPr>
        <w:t>Pakistan: 86% of abortion clients were married, multiparous women aged 25-34; 70% had ≥ secondary education</w:t>
      </w:r>
      <w:r w:rsidR="007D46FE">
        <w:rPr>
          <w:rFonts w:ascii="Times New Roman" w:hAnsi="Times New Roman" w:cs="Times New Roman"/>
        </w:rPr>
        <w:t>.</w:t>
      </w:r>
    </w:p>
    <w:p w14:paraId="31E63C8C" w14:textId="1662F305" w:rsidR="00675E40" w:rsidRPr="00675E40" w:rsidRDefault="00675E40" w:rsidP="00675E4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75E40">
        <w:rPr>
          <w:rFonts w:ascii="Times New Roman" w:hAnsi="Times New Roman" w:cs="Times New Roman"/>
        </w:rPr>
        <w:t>China: adolescent and student shares increased, with college students rising from 1.7% to 6.6% of cases in three years</w:t>
      </w:r>
      <w:r w:rsidR="007D46FE">
        <w:rPr>
          <w:rFonts w:ascii="Times New Roman" w:hAnsi="Times New Roman" w:cs="Times New Roman"/>
        </w:rPr>
        <w:t>.</w:t>
      </w:r>
    </w:p>
    <w:p w14:paraId="13B86A95" w14:textId="5DF64651" w:rsidR="00E02537" w:rsidRDefault="00675E40" w:rsidP="00675E40">
      <w:pPr>
        <w:rPr>
          <w:rFonts w:ascii="Times New Roman" w:hAnsi="Times New Roman" w:cs="Times New Roman"/>
        </w:rPr>
      </w:pPr>
      <w:r w:rsidRPr="00675E40">
        <w:rPr>
          <w:rFonts w:ascii="Times New Roman" w:hAnsi="Times New Roman" w:cs="Times New Roman"/>
        </w:rPr>
        <w:t>Across South Asia, provider surveys confirm that most abortions occur at ≤ 10 weeks and among women who have previously given birth.</w:t>
      </w:r>
    </w:p>
    <w:p w14:paraId="24960361" w14:textId="02B92476" w:rsidR="00675E40" w:rsidRPr="00675E40" w:rsidRDefault="00675E40" w:rsidP="00E025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5E40">
        <w:rPr>
          <w:rFonts w:ascii="Times New Roman" w:hAnsi="Times New Roman" w:cs="Times New Roman"/>
          <w:b/>
          <w:bCs/>
          <w:sz w:val="28"/>
          <w:szCs w:val="28"/>
        </w:rPr>
        <w:t>Europe</w:t>
      </w:r>
    </w:p>
    <w:p w14:paraId="2A0C6C84" w14:textId="77777777" w:rsidR="00675E40" w:rsidRPr="00675E40" w:rsidRDefault="00675E40" w:rsidP="00675E40">
      <w:pPr>
        <w:rPr>
          <w:rFonts w:ascii="Times New Roman" w:hAnsi="Times New Roman" w:cs="Times New Roman"/>
          <w:b/>
          <w:bCs/>
          <w:i/>
          <w:iCs/>
        </w:rPr>
      </w:pPr>
      <w:r w:rsidRPr="00675E40">
        <w:rPr>
          <w:rFonts w:ascii="Times New Roman" w:hAnsi="Times New Roman" w:cs="Times New Roman"/>
          <w:b/>
          <w:bCs/>
          <w:i/>
          <w:iCs/>
        </w:rPr>
        <w:t>Incidence</w:t>
      </w:r>
    </w:p>
    <w:p w14:paraId="39ABDA59" w14:textId="4BC22198" w:rsidR="00675E40" w:rsidRPr="00675E40" w:rsidRDefault="00675E40" w:rsidP="00675E40">
      <w:pPr>
        <w:rPr>
          <w:rFonts w:ascii="Times New Roman" w:hAnsi="Times New Roman" w:cs="Times New Roman"/>
        </w:rPr>
      </w:pPr>
      <w:r w:rsidRPr="00675E40">
        <w:rPr>
          <w:rFonts w:ascii="Times New Roman" w:hAnsi="Times New Roman" w:cs="Times New Roman"/>
        </w:rPr>
        <w:t xml:space="preserve">Europe maintains the world’s lowest regional incidence. The </w:t>
      </w:r>
      <w:r w:rsidR="00C11465">
        <w:rPr>
          <w:rFonts w:ascii="Times New Roman" w:hAnsi="Times New Roman" w:cs="Times New Roman"/>
        </w:rPr>
        <w:t>average</w:t>
      </w:r>
      <w:r w:rsidRPr="00675E40">
        <w:rPr>
          <w:rFonts w:ascii="Times New Roman" w:hAnsi="Times New Roman" w:cs="Times New Roman"/>
        </w:rPr>
        <w:t xml:space="preserve"> continental rate for 2015-2019 was 17/</w:t>
      </w:r>
      <w:r w:rsidR="00CB14E5">
        <w:rPr>
          <w:rFonts w:ascii="Times New Roman" w:hAnsi="Times New Roman" w:cs="Times New Roman"/>
        </w:rPr>
        <w:t>1,000</w:t>
      </w:r>
      <w:r w:rsidRPr="00675E40">
        <w:rPr>
          <w:rFonts w:ascii="Times New Roman" w:hAnsi="Times New Roman" w:cs="Times New Roman"/>
        </w:rPr>
        <w:t>.</w:t>
      </w:r>
    </w:p>
    <w:p w14:paraId="10E44C5F" w14:textId="30B4B455" w:rsidR="00675E40" w:rsidRPr="00675E40" w:rsidRDefault="00675E40" w:rsidP="00675E4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75E40">
        <w:rPr>
          <w:rFonts w:ascii="Times New Roman" w:hAnsi="Times New Roman" w:cs="Times New Roman"/>
        </w:rPr>
        <w:t>Switzerland: national surveillance shows 6.4/</w:t>
      </w:r>
      <w:r w:rsidR="00CB14E5">
        <w:rPr>
          <w:rFonts w:ascii="Times New Roman" w:hAnsi="Times New Roman" w:cs="Times New Roman"/>
        </w:rPr>
        <w:t>1,000</w:t>
      </w:r>
      <w:r w:rsidRPr="00675E40">
        <w:rPr>
          <w:rFonts w:ascii="Times New Roman" w:hAnsi="Times New Roman" w:cs="Times New Roman"/>
        </w:rPr>
        <w:t xml:space="preserve"> and </w:t>
      </w:r>
      <w:r w:rsidR="0057556A">
        <w:rPr>
          <w:rFonts w:ascii="Times New Roman" w:hAnsi="Times New Roman" w:cs="Times New Roman"/>
        </w:rPr>
        <w:t>approximately</w:t>
      </w:r>
      <w:r w:rsidRPr="00675E40">
        <w:rPr>
          <w:rFonts w:ascii="Times New Roman" w:hAnsi="Times New Roman" w:cs="Times New Roman"/>
        </w:rPr>
        <w:t xml:space="preserve"> </w:t>
      </w:r>
      <w:r w:rsidR="00E02537">
        <w:rPr>
          <w:rFonts w:ascii="Times New Roman" w:hAnsi="Times New Roman" w:cs="Times New Roman"/>
        </w:rPr>
        <w:t>11,000</w:t>
      </w:r>
      <w:r w:rsidRPr="00675E40">
        <w:rPr>
          <w:rFonts w:ascii="Times New Roman" w:hAnsi="Times New Roman" w:cs="Times New Roman"/>
        </w:rPr>
        <w:t xml:space="preserve"> abortions per year</w:t>
      </w:r>
      <w:r w:rsidR="00E02537">
        <w:rPr>
          <w:rFonts w:ascii="Times New Roman" w:hAnsi="Times New Roman" w:cs="Times New Roman"/>
        </w:rPr>
        <w:t>.</w:t>
      </w:r>
    </w:p>
    <w:p w14:paraId="2152894B" w14:textId="35291F5F" w:rsidR="00675E40" w:rsidRPr="00675E40" w:rsidRDefault="00675E40" w:rsidP="00675E4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75E40">
        <w:rPr>
          <w:rFonts w:ascii="Times New Roman" w:hAnsi="Times New Roman" w:cs="Times New Roman"/>
        </w:rPr>
        <w:lastRenderedPageBreak/>
        <w:t xml:space="preserve">England &amp; Wales (2022): Department of Health recorded </w:t>
      </w:r>
      <w:r w:rsidR="00E02537" w:rsidRPr="00675E40">
        <w:rPr>
          <w:rFonts w:ascii="Times New Roman" w:hAnsi="Times New Roman" w:cs="Times New Roman"/>
        </w:rPr>
        <w:t>251,377</w:t>
      </w:r>
      <w:r w:rsidRPr="00675E40">
        <w:rPr>
          <w:rFonts w:ascii="Times New Roman" w:hAnsi="Times New Roman" w:cs="Times New Roman"/>
        </w:rPr>
        <w:t xml:space="preserve"> abortions</w:t>
      </w:r>
      <w:r w:rsidR="0057556A">
        <w:rPr>
          <w:rFonts w:ascii="Times New Roman" w:hAnsi="Times New Roman" w:cs="Times New Roman"/>
        </w:rPr>
        <w:t xml:space="preserve">, </w:t>
      </w:r>
      <w:r w:rsidRPr="00675E40">
        <w:rPr>
          <w:rFonts w:ascii="Times New Roman" w:hAnsi="Times New Roman" w:cs="Times New Roman"/>
        </w:rPr>
        <w:t>19.2/1 000, the highest since 1967 (UK DHSC, 2023)</w:t>
      </w:r>
      <w:r w:rsidR="00E02537">
        <w:rPr>
          <w:rFonts w:ascii="Times New Roman" w:hAnsi="Times New Roman" w:cs="Times New Roman"/>
        </w:rPr>
        <w:t>.</w:t>
      </w:r>
    </w:p>
    <w:p w14:paraId="7669BF3C" w14:textId="77777777" w:rsidR="00675E40" w:rsidRPr="00675E40" w:rsidRDefault="00675E40" w:rsidP="00675E40">
      <w:pPr>
        <w:rPr>
          <w:rFonts w:ascii="Times New Roman" w:hAnsi="Times New Roman" w:cs="Times New Roman"/>
          <w:b/>
          <w:bCs/>
          <w:i/>
          <w:iCs/>
        </w:rPr>
      </w:pPr>
      <w:r w:rsidRPr="00675E40">
        <w:rPr>
          <w:rFonts w:ascii="Times New Roman" w:hAnsi="Times New Roman" w:cs="Times New Roman"/>
          <w:b/>
          <w:bCs/>
          <w:i/>
          <w:iCs/>
        </w:rPr>
        <w:t>Procedures</w:t>
      </w:r>
    </w:p>
    <w:p w14:paraId="51DA5B74" w14:textId="0AA1F85B" w:rsidR="00675E40" w:rsidRPr="00675E40" w:rsidRDefault="00675E40" w:rsidP="00675E40">
      <w:pPr>
        <w:rPr>
          <w:rFonts w:ascii="Times New Roman" w:hAnsi="Times New Roman" w:cs="Times New Roman"/>
        </w:rPr>
      </w:pPr>
      <w:r w:rsidRPr="00675E40">
        <w:rPr>
          <w:rFonts w:ascii="Times New Roman" w:hAnsi="Times New Roman" w:cs="Times New Roman"/>
        </w:rPr>
        <w:t xml:space="preserve">Western Europe has </w:t>
      </w:r>
      <w:r w:rsidR="00E02537">
        <w:rPr>
          <w:rFonts w:ascii="Times New Roman" w:hAnsi="Times New Roman" w:cs="Times New Roman"/>
        </w:rPr>
        <w:t>transitioned mainly</w:t>
      </w:r>
      <w:r w:rsidRPr="00675E40">
        <w:rPr>
          <w:rFonts w:ascii="Times New Roman" w:hAnsi="Times New Roman" w:cs="Times New Roman"/>
        </w:rPr>
        <w:t xml:space="preserve"> to MA:</w:t>
      </w:r>
    </w:p>
    <w:p w14:paraId="40F35851" w14:textId="1454B107" w:rsidR="00675E40" w:rsidRPr="00675E40" w:rsidRDefault="00675E40" w:rsidP="00675E40">
      <w:pPr>
        <w:numPr>
          <w:ilvl w:val="0"/>
          <w:numId w:val="5"/>
        </w:numPr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675E40">
        <w:rPr>
          <w:rFonts w:ascii="Times New Roman" w:hAnsi="Times New Roman" w:cs="Times New Roman"/>
          <w:lang w:val="fr-FR"/>
        </w:rPr>
        <w:t>Switzerland</w:t>
      </w:r>
      <w:proofErr w:type="spellEnd"/>
      <w:r w:rsidRPr="00675E40">
        <w:rPr>
          <w:rFonts w:ascii="Times New Roman" w:hAnsi="Times New Roman" w:cs="Times New Roman"/>
          <w:lang w:val="fr-FR"/>
        </w:rPr>
        <w:t>:</w:t>
      </w:r>
      <w:proofErr w:type="gramEnd"/>
      <w:r w:rsidRPr="00675E40">
        <w:rPr>
          <w:rFonts w:ascii="Times New Roman" w:hAnsi="Times New Roman" w:cs="Times New Roman"/>
          <w:lang w:val="fr-FR"/>
        </w:rPr>
        <w:t xml:space="preserve"> 74% MA vs 26% </w:t>
      </w:r>
      <w:proofErr w:type="spellStart"/>
      <w:r w:rsidRPr="00675E40">
        <w:rPr>
          <w:rFonts w:ascii="Times New Roman" w:hAnsi="Times New Roman" w:cs="Times New Roman"/>
          <w:lang w:val="fr-FR"/>
        </w:rPr>
        <w:t>suction</w:t>
      </w:r>
      <w:proofErr w:type="spellEnd"/>
      <w:r w:rsidRPr="00675E4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75E40">
        <w:rPr>
          <w:rFonts w:ascii="Times New Roman" w:hAnsi="Times New Roman" w:cs="Times New Roman"/>
          <w:lang w:val="fr-FR"/>
        </w:rPr>
        <w:t>evacuation</w:t>
      </w:r>
      <w:proofErr w:type="spellEnd"/>
      <w:r w:rsidR="007D46FE">
        <w:rPr>
          <w:rFonts w:ascii="Times New Roman" w:hAnsi="Times New Roman" w:cs="Times New Roman"/>
          <w:lang w:val="fr-FR"/>
        </w:rPr>
        <w:t>.</w:t>
      </w:r>
      <w:r w:rsidRPr="00675E40">
        <w:rPr>
          <w:rFonts w:ascii="Times New Roman" w:hAnsi="Times New Roman" w:cs="Times New Roman"/>
          <w:lang w:val="fr-FR"/>
        </w:rPr>
        <w:t xml:space="preserve"> </w:t>
      </w:r>
    </w:p>
    <w:p w14:paraId="78705B7C" w14:textId="7520DCE7" w:rsidR="00675E40" w:rsidRPr="00675E40" w:rsidRDefault="00675E40" w:rsidP="008F4027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675E40">
        <w:rPr>
          <w:rFonts w:ascii="Times New Roman" w:hAnsi="Times New Roman" w:cs="Times New Roman"/>
        </w:rPr>
        <w:t>England &amp; Wales: MA constituted 87% in 2021 and 90% in 2023</w:t>
      </w:r>
      <w:r w:rsidR="007D46FE">
        <w:rPr>
          <w:rFonts w:ascii="Times New Roman" w:hAnsi="Times New Roman" w:cs="Times New Roman"/>
        </w:rPr>
        <w:t xml:space="preserve">. </w:t>
      </w:r>
      <w:r w:rsidRPr="00675E40">
        <w:rPr>
          <w:rFonts w:ascii="Times New Roman" w:hAnsi="Times New Roman" w:cs="Times New Roman"/>
        </w:rPr>
        <w:t>MA home-use protocols accelerated during the pandemic and remain standard in the UK, Sweden</w:t>
      </w:r>
      <w:r w:rsidR="00E02537" w:rsidRPr="00E02537">
        <w:rPr>
          <w:rFonts w:ascii="Times New Roman" w:hAnsi="Times New Roman" w:cs="Times New Roman"/>
        </w:rPr>
        <w:t>,</w:t>
      </w:r>
      <w:r w:rsidRPr="00675E40">
        <w:rPr>
          <w:rFonts w:ascii="Times New Roman" w:hAnsi="Times New Roman" w:cs="Times New Roman"/>
        </w:rPr>
        <w:t xml:space="preserve"> and France.</w:t>
      </w:r>
    </w:p>
    <w:p w14:paraId="09728E99" w14:textId="77777777" w:rsidR="00675E40" w:rsidRPr="00675E40" w:rsidRDefault="00675E40" w:rsidP="00675E40">
      <w:pPr>
        <w:rPr>
          <w:rFonts w:ascii="Times New Roman" w:hAnsi="Times New Roman" w:cs="Times New Roman"/>
          <w:b/>
          <w:bCs/>
          <w:i/>
          <w:iCs/>
        </w:rPr>
      </w:pPr>
      <w:r w:rsidRPr="00675E40">
        <w:rPr>
          <w:rFonts w:ascii="Times New Roman" w:hAnsi="Times New Roman" w:cs="Times New Roman"/>
          <w:b/>
          <w:bCs/>
          <w:i/>
          <w:iCs/>
        </w:rPr>
        <w:t>Demographics</w:t>
      </w:r>
    </w:p>
    <w:p w14:paraId="0AD54273" w14:textId="65CC09E4" w:rsidR="00675E40" w:rsidRPr="00675E40" w:rsidRDefault="00675E40" w:rsidP="00675E40">
      <w:pPr>
        <w:rPr>
          <w:rFonts w:ascii="Times New Roman" w:hAnsi="Times New Roman" w:cs="Times New Roman"/>
        </w:rPr>
      </w:pPr>
      <w:r w:rsidRPr="00675E40">
        <w:rPr>
          <w:rFonts w:ascii="Times New Roman" w:hAnsi="Times New Roman" w:cs="Times New Roman"/>
        </w:rPr>
        <w:t xml:space="preserve">Registry studies show that women aged 25-34 account for </w:t>
      </w:r>
      <w:r w:rsidR="0057556A">
        <w:rPr>
          <w:rFonts w:ascii="Times New Roman" w:hAnsi="Times New Roman" w:cs="Times New Roman"/>
        </w:rPr>
        <w:t xml:space="preserve">approximately </w:t>
      </w:r>
      <w:r w:rsidRPr="00675E40">
        <w:rPr>
          <w:rFonts w:ascii="Times New Roman" w:hAnsi="Times New Roman" w:cs="Times New Roman"/>
        </w:rPr>
        <w:t>45% of abortions; adolescents (&lt; 18 y) represent 5-7%</w:t>
      </w:r>
      <w:r w:rsidR="0057556A">
        <w:rPr>
          <w:rFonts w:ascii="Times New Roman" w:hAnsi="Times New Roman" w:cs="Times New Roman"/>
        </w:rPr>
        <w:t>.</w:t>
      </w:r>
      <w:r w:rsidRPr="00675E40">
        <w:rPr>
          <w:rFonts w:ascii="Times New Roman" w:hAnsi="Times New Roman" w:cs="Times New Roman"/>
        </w:rPr>
        <w:t xml:space="preserve"> Parity patterns </w:t>
      </w:r>
      <w:proofErr w:type="gramStart"/>
      <w:r w:rsidRPr="00675E40">
        <w:rPr>
          <w:rFonts w:ascii="Times New Roman" w:hAnsi="Times New Roman" w:cs="Times New Roman"/>
        </w:rPr>
        <w:t>differ:</w:t>
      </w:r>
      <w:proofErr w:type="gramEnd"/>
      <w:r w:rsidRPr="00675E40">
        <w:rPr>
          <w:rFonts w:ascii="Times New Roman" w:hAnsi="Times New Roman" w:cs="Times New Roman"/>
        </w:rPr>
        <w:t xml:space="preserve"> in Western Europe</w:t>
      </w:r>
      <w:r w:rsidR="00C11465">
        <w:rPr>
          <w:rFonts w:ascii="Times New Roman" w:hAnsi="Times New Roman" w:cs="Times New Roman"/>
        </w:rPr>
        <w:t>,&gt; 60% of clients have previous births, whereas in Eastern Europe,</w:t>
      </w:r>
      <w:r w:rsidRPr="00675E40">
        <w:rPr>
          <w:rFonts w:ascii="Times New Roman" w:hAnsi="Times New Roman" w:cs="Times New Roman"/>
        </w:rPr>
        <w:t xml:space="preserve"> nulliparous women predominate.</w:t>
      </w:r>
    </w:p>
    <w:p w14:paraId="19E2BA09" w14:textId="52CB41F0" w:rsidR="00675E40" w:rsidRPr="00675E40" w:rsidRDefault="00675E40" w:rsidP="00E025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5E40">
        <w:rPr>
          <w:rFonts w:ascii="Times New Roman" w:hAnsi="Times New Roman" w:cs="Times New Roman"/>
          <w:b/>
          <w:bCs/>
          <w:sz w:val="28"/>
          <w:szCs w:val="28"/>
        </w:rPr>
        <w:t>North America</w:t>
      </w:r>
    </w:p>
    <w:p w14:paraId="2A07A5B7" w14:textId="77777777" w:rsidR="00675E40" w:rsidRPr="00675E40" w:rsidRDefault="00675E40" w:rsidP="00675E40">
      <w:pPr>
        <w:rPr>
          <w:rFonts w:ascii="Times New Roman" w:hAnsi="Times New Roman" w:cs="Times New Roman"/>
          <w:b/>
          <w:bCs/>
          <w:i/>
          <w:iCs/>
        </w:rPr>
      </w:pPr>
      <w:r w:rsidRPr="00675E40">
        <w:rPr>
          <w:rFonts w:ascii="Times New Roman" w:hAnsi="Times New Roman" w:cs="Times New Roman"/>
          <w:b/>
          <w:bCs/>
          <w:i/>
          <w:iCs/>
        </w:rPr>
        <w:t>Incidence</w:t>
      </w:r>
    </w:p>
    <w:p w14:paraId="026D2B09" w14:textId="4B56EAED" w:rsidR="00675E40" w:rsidRPr="00675E40" w:rsidRDefault="00675E40" w:rsidP="00675E40">
      <w:pPr>
        <w:rPr>
          <w:rFonts w:ascii="Times New Roman" w:hAnsi="Times New Roman" w:cs="Times New Roman"/>
        </w:rPr>
      </w:pPr>
      <w:r w:rsidRPr="00675E40">
        <w:rPr>
          <w:rFonts w:ascii="Times New Roman" w:hAnsi="Times New Roman" w:cs="Times New Roman"/>
        </w:rPr>
        <w:t xml:space="preserve">The 2022 CDC report recorded </w:t>
      </w:r>
      <w:r w:rsidR="007D46FE">
        <w:rPr>
          <w:rFonts w:ascii="Times New Roman" w:hAnsi="Times New Roman" w:cs="Times New Roman"/>
        </w:rPr>
        <w:t>609,360 abortions in 47 continuous-reporting U.S. jurisdictions, a rate of 11.2/</w:t>
      </w:r>
      <w:r w:rsidR="00CB14E5">
        <w:rPr>
          <w:rFonts w:ascii="Times New Roman" w:hAnsi="Times New Roman" w:cs="Times New Roman"/>
        </w:rPr>
        <w:t>1,000</w:t>
      </w:r>
      <w:r w:rsidRPr="00675E40">
        <w:rPr>
          <w:rFonts w:ascii="Times New Roman" w:hAnsi="Times New Roman" w:cs="Times New Roman"/>
        </w:rPr>
        <w:t xml:space="preserve">. Canadian provincial data </w:t>
      </w:r>
      <w:r w:rsidR="00C11465">
        <w:rPr>
          <w:rFonts w:ascii="Times New Roman" w:hAnsi="Times New Roman" w:cs="Times New Roman"/>
        </w:rPr>
        <w:t>places</w:t>
      </w:r>
      <w:r w:rsidRPr="00675E40">
        <w:rPr>
          <w:rFonts w:ascii="Times New Roman" w:hAnsi="Times New Roman" w:cs="Times New Roman"/>
        </w:rPr>
        <w:t xml:space="preserve"> national rates near 15/</w:t>
      </w:r>
      <w:r w:rsidR="00CB14E5">
        <w:rPr>
          <w:rFonts w:ascii="Times New Roman" w:hAnsi="Times New Roman" w:cs="Times New Roman"/>
        </w:rPr>
        <w:t>1,000</w:t>
      </w:r>
      <w:r w:rsidRPr="00675E40">
        <w:rPr>
          <w:rFonts w:ascii="Times New Roman" w:hAnsi="Times New Roman" w:cs="Times New Roman"/>
        </w:rPr>
        <w:t>.</w:t>
      </w:r>
    </w:p>
    <w:p w14:paraId="3118ABAC" w14:textId="77777777" w:rsidR="00675E40" w:rsidRPr="00675E40" w:rsidRDefault="00675E40" w:rsidP="00675E40">
      <w:pPr>
        <w:rPr>
          <w:rFonts w:ascii="Times New Roman" w:hAnsi="Times New Roman" w:cs="Times New Roman"/>
          <w:b/>
          <w:bCs/>
          <w:i/>
          <w:iCs/>
        </w:rPr>
      </w:pPr>
      <w:r w:rsidRPr="00675E40">
        <w:rPr>
          <w:rFonts w:ascii="Times New Roman" w:hAnsi="Times New Roman" w:cs="Times New Roman"/>
          <w:b/>
          <w:bCs/>
          <w:i/>
          <w:iCs/>
        </w:rPr>
        <w:t>Procedures</w:t>
      </w:r>
    </w:p>
    <w:p w14:paraId="1A7EB031" w14:textId="77777777" w:rsidR="00675E40" w:rsidRPr="00675E40" w:rsidRDefault="00675E40" w:rsidP="00675E40">
      <w:pPr>
        <w:rPr>
          <w:rFonts w:ascii="Times New Roman" w:hAnsi="Times New Roman" w:cs="Times New Roman"/>
        </w:rPr>
      </w:pPr>
      <w:r w:rsidRPr="00675E40">
        <w:rPr>
          <w:rFonts w:ascii="Times New Roman" w:hAnsi="Times New Roman" w:cs="Times New Roman"/>
        </w:rPr>
        <w:t>Early MA has become dominant:</w:t>
      </w:r>
    </w:p>
    <w:p w14:paraId="5ABA015C" w14:textId="41202373" w:rsidR="00E02537" w:rsidRDefault="00675E40" w:rsidP="00675E4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675E40">
        <w:rPr>
          <w:rFonts w:ascii="Times New Roman" w:hAnsi="Times New Roman" w:cs="Times New Roman"/>
        </w:rPr>
        <w:t>United States (2022): MA accounted for 70.2% of ≤ 9-week abortions and 53.3% of all abortions (CDC)</w:t>
      </w:r>
      <w:r w:rsidR="00E02537">
        <w:rPr>
          <w:rFonts w:ascii="Times New Roman" w:hAnsi="Times New Roman" w:cs="Times New Roman"/>
        </w:rPr>
        <w:t>.</w:t>
      </w:r>
    </w:p>
    <w:p w14:paraId="104D995F" w14:textId="65A93DC0" w:rsidR="00E02537" w:rsidRPr="007D46FE" w:rsidRDefault="00675E40" w:rsidP="00675E4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675E40">
        <w:rPr>
          <w:rFonts w:ascii="Times New Roman" w:hAnsi="Times New Roman" w:cs="Times New Roman"/>
        </w:rPr>
        <w:t>D&amp;E remains routine for gestations ≥ 15 weeks.</w:t>
      </w:r>
    </w:p>
    <w:p w14:paraId="5643242C" w14:textId="11FC1F68" w:rsidR="00675E40" w:rsidRPr="00675E40" w:rsidRDefault="00675E40" w:rsidP="00675E40">
      <w:pPr>
        <w:rPr>
          <w:rFonts w:ascii="Times New Roman" w:hAnsi="Times New Roman" w:cs="Times New Roman"/>
          <w:b/>
          <w:bCs/>
          <w:i/>
          <w:iCs/>
        </w:rPr>
      </w:pPr>
      <w:r w:rsidRPr="00675E40">
        <w:rPr>
          <w:rFonts w:ascii="Times New Roman" w:hAnsi="Times New Roman" w:cs="Times New Roman"/>
          <w:b/>
          <w:bCs/>
          <w:i/>
          <w:iCs/>
        </w:rPr>
        <w:t>Demographics</w:t>
      </w:r>
    </w:p>
    <w:p w14:paraId="68CF8406" w14:textId="0D01F2D0" w:rsidR="00675E40" w:rsidRPr="00675E40" w:rsidRDefault="00675E40" w:rsidP="00675E40">
      <w:pPr>
        <w:rPr>
          <w:rFonts w:ascii="Times New Roman" w:hAnsi="Times New Roman" w:cs="Times New Roman"/>
        </w:rPr>
      </w:pPr>
      <w:r w:rsidRPr="00675E40">
        <w:rPr>
          <w:rFonts w:ascii="Times New Roman" w:hAnsi="Times New Roman" w:cs="Times New Roman"/>
        </w:rPr>
        <w:t>Women in their twenties accounted for 56.5% of U.S. abortions; adolescents (&lt; 20 y) comprised 8.6 % (CDC). The abortion rate among Black women (23.8/</w:t>
      </w:r>
      <w:r w:rsidR="00CB14E5">
        <w:rPr>
          <w:rFonts w:ascii="Times New Roman" w:hAnsi="Times New Roman" w:cs="Times New Roman"/>
        </w:rPr>
        <w:t>1,000</w:t>
      </w:r>
      <w:r w:rsidRPr="00675E40">
        <w:rPr>
          <w:rFonts w:ascii="Times New Roman" w:hAnsi="Times New Roman" w:cs="Times New Roman"/>
        </w:rPr>
        <w:t>) was nearly four times that of White women (6.2/</w:t>
      </w:r>
      <w:r w:rsidR="00CB14E5">
        <w:rPr>
          <w:rFonts w:ascii="Times New Roman" w:hAnsi="Times New Roman" w:cs="Times New Roman"/>
        </w:rPr>
        <w:t>1,000</w:t>
      </w:r>
      <w:r w:rsidRPr="00675E40">
        <w:rPr>
          <w:rFonts w:ascii="Times New Roman" w:hAnsi="Times New Roman" w:cs="Times New Roman"/>
        </w:rPr>
        <w:t>). Medicaid-eligible clients are over-represented among surgical procedures.</w:t>
      </w:r>
    </w:p>
    <w:p w14:paraId="7764792A" w14:textId="77777777" w:rsidR="00675E40" w:rsidRPr="00675E40" w:rsidRDefault="00675E40" w:rsidP="00E025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5E40">
        <w:rPr>
          <w:rFonts w:ascii="Times New Roman" w:hAnsi="Times New Roman" w:cs="Times New Roman"/>
          <w:b/>
          <w:bCs/>
          <w:sz w:val="28"/>
          <w:szCs w:val="28"/>
        </w:rPr>
        <w:t>Latin America &amp; Caribbean</w:t>
      </w:r>
    </w:p>
    <w:p w14:paraId="64892BEE" w14:textId="77777777" w:rsidR="00675E40" w:rsidRPr="00675E40" w:rsidRDefault="00675E40" w:rsidP="00675E40">
      <w:pPr>
        <w:rPr>
          <w:rFonts w:ascii="Times New Roman" w:hAnsi="Times New Roman" w:cs="Times New Roman"/>
          <w:b/>
          <w:bCs/>
          <w:i/>
          <w:iCs/>
        </w:rPr>
      </w:pPr>
      <w:r w:rsidRPr="00675E40">
        <w:rPr>
          <w:rFonts w:ascii="Times New Roman" w:hAnsi="Times New Roman" w:cs="Times New Roman"/>
          <w:b/>
          <w:bCs/>
          <w:i/>
          <w:iCs/>
        </w:rPr>
        <w:t>Incidence</w:t>
      </w:r>
    </w:p>
    <w:p w14:paraId="7D67240C" w14:textId="31325757" w:rsidR="00675E40" w:rsidRPr="00675E40" w:rsidRDefault="007D46FE" w:rsidP="00675E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 e</w:t>
      </w:r>
      <w:r w:rsidR="00675E40" w:rsidRPr="00675E40">
        <w:rPr>
          <w:rFonts w:ascii="Times New Roman" w:hAnsi="Times New Roman" w:cs="Times New Roman"/>
        </w:rPr>
        <w:t>stimated 5.7 million abortions</w:t>
      </w:r>
      <w:r w:rsidR="0057556A">
        <w:rPr>
          <w:rFonts w:ascii="Times New Roman" w:hAnsi="Times New Roman" w:cs="Times New Roman"/>
        </w:rPr>
        <w:t xml:space="preserve"> occur each </w:t>
      </w:r>
      <w:r w:rsidR="00675E40" w:rsidRPr="00675E40">
        <w:rPr>
          <w:rFonts w:ascii="Times New Roman" w:hAnsi="Times New Roman" w:cs="Times New Roman"/>
        </w:rPr>
        <w:t>year</w:t>
      </w:r>
      <w:r w:rsidR="00C11465">
        <w:rPr>
          <w:rFonts w:ascii="Times New Roman" w:hAnsi="Times New Roman" w:cs="Times New Roman"/>
        </w:rPr>
        <w:t>,</w:t>
      </w:r>
      <w:r w:rsidR="00675E40" w:rsidRPr="00675E40">
        <w:rPr>
          <w:rFonts w:ascii="Times New Roman" w:hAnsi="Times New Roman" w:cs="Times New Roman"/>
        </w:rPr>
        <w:t xml:space="preserve"> </w:t>
      </w:r>
      <w:r w:rsidR="0057556A">
        <w:rPr>
          <w:rFonts w:ascii="Times New Roman" w:hAnsi="Times New Roman" w:cs="Times New Roman"/>
        </w:rPr>
        <w:t>with</w:t>
      </w:r>
      <w:r w:rsidR="00675E40" w:rsidRPr="00675E40">
        <w:rPr>
          <w:rFonts w:ascii="Times New Roman" w:hAnsi="Times New Roman" w:cs="Times New Roman"/>
        </w:rPr>
        <w:t xml:space="preserve"> a continental rate of 32/</w:t>
      </w:r>
      <w:r w:rsidR="00CB14E5">
        <w:rPr>
          <w:rFonts w:ascii="Times New Roman" w:hAnsi="Times New Roman" w:cs="Times New Roman"/>
        </w:rPr>
        <w:t>1,000</w:t>
      </w:r>
      <w:r w:rsidR="00E02537">
        <w:rPr>
          <w:rFonts w:ascii="Times New Roman" w:hAnsi="Times New Roman" w:cs="Times New Roman"/>
        </w:rPr>
        <w:t xml:space="preserve">. </w:t>
      </w:r>
      <w:r w:rsidR="00675E40" w:rsidRPr="00675E40">
        <w:rPr>
          <w:rFonts w:ascii="Times New Roman" w:hAnsi="Times New Roman" w:cs="Times New Roman"/>
        </w:rPr>
        <w:t>Country-specific peer-reviewed updates include:</w:t>
      </w:r>
    </w:p>
    <w:p w14:paraId="78DED159" w14:textId="4DE6DFD7" w:rsidR="00675E40" w:rsidRPr="00675E40" w:rsidRDefault="00675E40" w:rsidP="00675E4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675E40">
        <w:rPr>
          <w:rFonts w:ascii="Times New Roman" w:hAnsi="Times New Roman" w:cs="Times New Roman"/>
        </w:rPr>
        <w:lastRenderedPageBreak/>
        <w:t xml:space="preserve">Argentina (2022): health-ministry data </w:t>
      </w:r>
      <w:r w:rsidR="00042753" w:rsidRPr="00675E40">
        <w:rPr>
          <w:rFonts w:ascii="Times New Roman" w:hAnsi="Times New Roman" w:cs="Times New Roman"/>
        </w:rPr>
        <w:t>re</w:t>
      </w:r>
      <w:r w:rsidR="00042753">
        <w:rPr>
          <w:rFonts w:ascii="Times New Roman" w:hAnsi="Times New Roman" w:cs="Times New Roman"/>
        </w:rPr>
        <w:t xml:space="preserve">vealed </w:t>
      </w:r>
      <w:r w:rsidR="00042753" w:rsidRPr="00675E40">
        <w:rPr>
          <w:rFonts w:ascii="Times New Roman" w:hAnsi="Times New Roman" w:cs="Times New Roman"/>
        </w:rPr>
        <w:t>96,664</w:t>
      </w:r>
      <w:r w:rsidRPr="00675E40">
        <w:rPr>
          <w:rFonts w:ascii="Times New Roman" w:hAnsi="Times New Roman" w:cs="Times New Roman"/>
        </w:rPr>
        <w:t xml:space="preserve"> abortions</w:t>
      </w:r>
      <w:r w:rsidR="0057556A">
        <w:rPr>
          <w:rFonts w:ascii="Times New Roman" w:hAnsi="Times New Roman" w:cs="Times New Roman"/>
        </w:rPr>
        <w:t xml:space="preserve">, approximately </w:t>
      </w:r>
      <w:r w:rsidRPr="00675E40">
        <w:rPr>
          <w:rFonts w:ascii="Times New Roman" w:hAnsi="Times New Roman" w:cs="Times New Roman"/>
        </w:rPr>
        <w:t>27/1 000</w:t>
      </w:r>
      <w:r w:rsidR="00BA4CB5">
        <w:rPr>
          <w:rFonts w:ascii="Times New Roman" w:hAnsi="Times New Roman" w:cs="Times New Roman"/>
        </w:rPr>
        <w:t xml:space="preserve"> </w:t>
      </w:r>
      <w:r w:rsidRPr="00675E40">
        <w:rPr>
          <w:rFonts w:ascii="Times New Roman" w:hAnsi="Times New Roman" w:cs="Times New Roman"/>
        </w:rPr>
        <w:t>and 98% MA.</w:t>
      </w:r>
    </w:p>
    <w:p w14:paraId="1712403E" w14:textId="5E136459" w:rsidR="00675E40" w:rsidRPr="00675E40" w:rsidRDefault="00675E40" w:rsidP="00675E4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675E40">
        <w:rPr>
          <w:rFonts w:ascii="Times New Roman" w:hAnsi="Times New Roman" w:cs="Times New Roman"/>
        </w:rPr>
        <w:t xml:space="preserve">Colombia (2021-22): Tele-medicine cohort of </w:t>
      </w:r>
      <w:r w:rsidR="00E02537">
        <w:rPr>
          <w:rFonts w:ascii="Times New Roman" w:hAnsi="Times New Roman" w:cs="Times New Roman"/>
        </w:rPr>
        <w:t xml:space="preserve">3,073 clients; incidence extrapolated from call volume suggests </w:t>
      </w:r>
      <w:r w:rsidR="007D46FE">
        <w:rPr>
          <w:rFonts w:ascii="Times New Roman" w:hAnsi="Times New Roman" w:cs="Times New Roman"/>
        </w:rPr>
        <w:t>approximately</w:t>
      </w:r>
      <w:r w:rsidR="00E02537">
        <w:rPr>
          <w:rFonts w:ascii="Times New Roman" w:hAnsi="Times New Roman" w:cs="Times New Roman"/>
        </w:rPr>
        <w:t xml:space="preserve"> 252,000</w:t>
      </w:r>
      <w:r w:rsidRPr="00675E40">
        <w:rPr>
          <w:rFonts w:ascii="Times New Roman" w:hAnsi="Times New Roman" w:cs="Times New Roman"/>
        </w:rPr>
        <w:t xml:space="preserve"> abortions/year</w:t>
      </w:r>
      <w:r w:rsidR="007D46FE">
        <w:rPr>
          <w:rFonts w:ascii="Times New Roman" w:hAnsi="Times New Roman" w:cs="Times New Roman"/>
        </w:rPr>
        <w:t>.</w:t>
      </w:r>
      <w:r w:rsidRPr="00675E40">
        <w:rPr>
          <w:rFonts w:ascii="Times New Roman" w:hAnsi="Times New Roman" w:cs="Times New Roman"/>
        </w:rPr>
        <w:t xml:space="preserve"> </w:t>
      </w:r>
    </w:p>
    <w:p w14:paraId="32373635" w14:textId="77777777" w:rsidR="00675E40" w:rsidRPr="00675E40" w:rsidRDefault="00675E40" w:rsidP="00675E40">
      <w:pPr>
        <w:rPr>
          <w:rFonts w:ascii="Times New Roman" w:hAnsi="Times New Roman" w:cs="Times New Roman"/>
          <w:b/>
          <w:bCs/>
          <w:i/>
          <w:iCs/>
        </w:rPr>
      </w:pPr>
      <w:r w:rsidRPr="00675E40">
        <w:rPr>
          <w:rFonts w:ascii="Times New Roman" w:hAnsi="Times New Roman" w:cs="Times New Roman"/>
          <w:b/>
          <w:bCs/>
          <w:i/>
          <w:iCs/>
        </w:rPr>
        <w:t>Procedures</w:t>
      </w:r>
    </w:p>
    <w:p w14:paraId="0B276520" w14:textId="7D1047EC" w:rsidR="00675E40" w:rsidRPr="00675E40" w:rsidRDefault="00675E40" w:rsidP="00675E40">
      <w:pPr>
        <w:rPr>
          <w:rFonts w:ascii="Times New Roman" w:hAnsi="Times New Roman" w:cs="Times New Roman"/>
        </w:rPr>
      </w:pPr>
      <w:r w:rsidRPr="00675E40">
        <w:rPr>
          <w:rFonts w:ascii="Times New Roman" w:hAnsi="Times New Roman" w:cs="Times New Roman"/>
        </w:rPr>
        <w:t>MA dominates early abortions across the region: Colombian tele-MA achieved 94.9% completion and &lt; 0.5% serious-event rate</w:t>
      </w:r>
      <w:r w:rsidR="00E02537">
        <w:rPr>
          <w:rFonts w:ascii="Times New Roman" w:hAnsi="Times New Roman" w:cs="Times New Roman"/>
        </w:rPr>
        <w:t xml:space="preserve">. </w:t>
      </w:r>
      <w:r w:rsidRPr="00675E40">
        <w:rPr>
          <w:rFonts w:ascii="Times New Roman" w:hAnsi="Times New Roman" w:cs="Times New Roman"/>
        </w:rPr>
        <w:t xml:space="preserve">Argentina’s public-sector data indicate &gt; 95% MA within 12 weeks. D&amp;E is the standard surgical technique for ≥ 13-week procedures in tertiary </w:t>
      </w:r>
      <w:r w:rsidR="00E02537" w:rsidRPr="00675E40">
        <w:rPr>
          <w:rFonts w:ascii="Times New Roman" w:hAnsi="Times New Roman" w:cs="Times New Roman"/>
        </w:rPr>
        <w:t>centers</w:t>
      </w:r>
      <w:r w:rsidRPr="00675E40">
        <w:rPr>
          <w:rFonts w:ascii="Times New Roman" w:hAnsi="Times New Roman" w:cs="Times New Roman"/>
        </w:rPr>
        <w:t>.</w:t>
      </w:r>
    </w:p>
    <w:p w14:paraId="015F3640" w14:textId="77777777" w:rsidR="00675E40" w:rsidRPr="00675E40" w:rsidRDefault="00675E40" w:rsidP="00675E40">
      <w:pPr>
        <w:rPr>
          <w:rFonts w:ascii="Times New Roman" w:hAnsi="Times New Roman" w:cs="Times New Roman"/>
          <w:b/>
          <w:bCs/>
          <w:i/>
          <w:iCs/>
        </w:rPr>
      </w:pPr>
      <w:r w:rsidRPr="00675E40">
        <w:rPr>
          <w:rFonts w:ascii="Times New Roman" w:hAnsi="Times New Roman" w:cs="Times New Roman"/>
          <w:b/>
          <w:bCs/>
          <w:i/>
          <w:iCs/>
        </w:rPr>
        <w:t>Demographics</w:t>
      </w:r>
    </w:p>
    <w:p w14:paraId="5D2E3A45" w14:textId="2F82651F" w:rsidR="00675E40" w:rsidRPr="00675E40" w:rsidRDefault="00675E40" w:rsidP="00675E40">
      <w:pPr>
        <w:rPr>
          <w:rFonts w:ascii="Times New Roman" w:hAnsi="Times New Roman" w:cs="Times New Roman"/>
        </w:rPr>
      </w:pPr>
      <w:r w:rsidRPr="00675E40">
        <w:rPr>
          <w:rFonts w:ascii="Times New Roman" w:hAnsi="Times New Roman" w:cs="Times New Roman"/>
        </w:rPr>
        <w:t xml:space="preserve">Most abortions are obtained by women aged 20-29, many </w:t>
      </w:r>
      <w:r w:rsidR="00BA4CB5">
        <w:rPr>
          <w:rFonts w:ascii="Times New Roman" w:hAnsi="Times New Roman" w:cs="Times New Roman"/>
        </w:rPr>
        <w:t xml:space="preserve">of whom are </w:t>
      </w:r>
      <w:r w:rsidRPr="00675E40">
        <w:rPr>
          <w:rFonts w:ascii="Times New Roman" w:hAnsi="Times New Roman" w:cs="Times New Roman"/>
        </w:rPr>
        <w:t>already mothers. Colombian tele-MA clients were 56% urban, 49% nulliparous</w:t>
      </w:r>
      <w:r w:rsidR="00E02537">
        <w:rPr>
          <w:rFonts w:ascii="Times New Roman" w:hAnsi="Times New Roman" w:cs="Times New Roman"/>
        </w:rPr>
        <w:t>, and predominantly in the two lowest income quintiles</w:t>
      </w:r>
      <w:r w:rsidR="00BA4CB5">
        <w:rPr>
          <w:rFonts w:ascii="Times New Roman" w:hAnsi="Times New Roman" w:cs="Times New Roman"/>
        </w:rPr>
        <w:t>. Adolescents</w:t>
      </w:r>
      <w:r w:rsidRPr="00675E40">
        <w:rPr>
          <w:rFonts w:ascii="Times New Roman" w:hAnsi="Times New Roman" w:cs="Times New Roman"/>
        </w:rPr>
        <w:t xml:space="preserve"> represent </w:t>
      </w:r>
      <w:r w:rsidR="00BA4CB5">
        <w:rPr>
          <w:rFonts w:ascii="Times New Roman" w:hAnsi="Times New Roman" w:cs="Times New Roman"/>
        </w:rPr>
        <w:t>approximately 12</w:t>
      </w:r>
      <w:r w:rsidRPr="00675E40">
        <w:rPr>
          <w:rFonts w:ascii="Times New Roman" w:hAnsi="Times New Roman" w:cs="Times New Roman"/>
        </w:rPr>
        <w:t xml:space="preserve">% of abortions </w:t>
      </w:r>
      <w:proofErr w:type="gramStart"/>
      <w:r w:rsidR="00C11465">
        <w:rPr>
          <w:rFonts w:ascii="Times New Roman" w:hAnsi="Times New Roman" w:cs="Times New Roman"/>
        </w:rPr>
        <w:t>region-wide</w:t>
      </w:r>
      <w:proofErr w:type="gramEnd"/>
      <w:r w:rsidRPr="00675E40">
        <w:rPr>
          <w:rFonts w:ascii="Times New Roman" w:hAnsi="Times New Roman" w:cs="Times New Roman"/>
        </w:rPr>
        <w:t>.</w:t>
      </w:r>
    </w:p>
    <w:p w14:paraId="1041DF1D" w14:textId="77777777" w:rsidR="002E6144" w:rsidRDefault="00675E40" w:rsidP="00E025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5E40">
        <w:rPr>
          <w:rFonts w:ascii="Times New Roman" w:hAnsi="Times New Roman" w:cs="Times New Roman"/>
          <w:b/>
          <w:bCs/>
          <w:sz w:val="28"/>
          <w:szCs w:val="28"/>
        </w:rPr>
        <w:t>Oceania</w:t>
      </w:r>
      <w:r w:rsidR="002E61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67D3833" w14:textId="413BD6EA" w:rsidR="00675E40" w:rsidRPr="002E6144" w:rsidRDefault="002E6144" w:rsidP="00E02537">
      <w:pPr>
        <w:jc w:val="center"/>
        <w:rPr>
          <w:rFonts w:ascii="Times New Roman" w:hAnsi="Times New Roman" w:cs="Times New Roman"/>
          <w:b/>
          <w:bCs/>
        </w:rPr>
      </w:pPr>
      <w:r w:rsidRPr="002E6144">
        <w:rPr>
          <w:rFonts w:ascii="Times New Roman" w:hAnsi="Times New Roman" w:cs="Times New Roman"/>
          <w:b/>
          <w:bCs/>
        </w:rPr>
        <w:t>(Australia and New Zealand, Melanesia, Micronesia, and Polynesia)</w:t>
      </w:r>
    </w:p>
    <w:p w14:paraId="2CE1D266" w14:textId="77777777" w:rsidR="00675E40" w:rsidRPr="00675E40" w:rsidRDefault="00675E40" w:rsidP="00675E40">
      <w:pPr>
        <w:rPr>
          <w:rFonts w:ascii="Times New Roman" w:hAnsi="Times New Roman" w:cs="Times New Roman"/>
          <w:b/>
          <w:bCs/>
          <w:i/>
          <w:iCs/>
        </w:rPr>
      </w:pPr>
      <w:r w:rsidRPr="00675E40">
        <w:rPr>
          <w:rFonts w:ascii="Times New Roman" w:hAnsi="Times New Roman" w:cs="Times New Roman"/>
          <w:b/>
          <w:bCs/>
          <w:i/>
          <w:iCs/>
        </w:rPr>
        <w:t>Incidence</w:t>
      </w:r>
    </w:p>
    <w:p w14:paraId="6E514CAC" w14:textId="302F5416" w:rsidR="00675E40" w:rsidRPr="00675E40" w:rsidRDefault="00675E40" w:rsidP="00675E40">
      <w:pPr>
        <w:rPr>
          <w:rFonts w:ascii="Times New Roman" w:hAnsi="Times New Roman" w:cs="Times New Roman"/>
        </w:rPr>
      </w:pPr>
      <w:r w:rsidRPr="00675E40">
        <w:rPr>
          <w:rFonts w:ascii="Times New Roman" w:hAnsi="Times New Roman" w:cs="Times New Roman"/>
        </w:rPr>
        <w:t>In the Australian Longitudinal Study on Women’s Health (ALSWH), the 1989-95 birth cohort experienced a stable incidence of</w:t>
      </w:r>
      <w:r w:rsidR="00BA4CB5" w:rsidRPr="00675E40">
        <w:rPr>
          <w:rFonts w:ascii="Times New Roman" w:hAnsi="Times New Roman" w:cs="Times New Roman"/>
        </w:rPr>
        <w:t xml:space="preserve"> </w:t>
      </w:r>
      <w:r w:rsidR="00BA4CB5">
        <w:rPr>
          <w:rFonts w:ascii="Times New Roman" w:hAnsi="Times New Roman" w:cs="Times New Roman"/>
        </w:rPr>
        <w:t xml:space="preserve">approximately </w:t>
      </w:r>
      <w:r w:rsidRPr="00675E40">
        <w:rPr>
          <w:rFonts w:ascii="Times New Roman" w:hAnsi="Times New Roman" w:cs="Times New Roman"/>
        </w:rPr>
        <w:t>20/</w:t>
      </w:r>
      <w:r w:rsidR="00CB14E5">
        <w:rPr>
          <w:rFonts w:ascii="Times New Roman" w:hAnsi="Times New Roman" w:cs="Times New Roman"/>
        </w:rPr>
        <w:t>1,000</w:t>
      </w:r>
      <w:r w:rsidRPr="00675E40">
        <w:rPr>
          <w:rFonts w:ascii="Times New Roman" w:hAnsi="Times New Roman" w:cs="Times New Roman"/>
        </w:rPr>
        <w:t xml:space="preserve"> through 2013-2021</w:t>
      </w:r>
      <w:r w:rsidR="00E02537">
        <w:rPr>
          <w:rFonts w:ascii="Times New Roman" w:hAnsi="Times New Roman" w:cs="Times New Roman"/>
        </w:rPr>
        <w:t>.</w:t>
      </w:r>
      <w:r w:rsidRPr="00675E40">
        <w:rPr>
          <w:rFonts w:ascii="Times New Roman" w:hAnsi="Times New Roman" w:cs="Times New Roman"/>
        </w:rPr>
        <w:t xml:space="preserve"> New Zealand’s 2023 Abortion Services Report recorded 19.7/</w:t>
      </w:r>
      <w:r w:rsidR="00CB14E5">
        <w:rPr>
          <w:rFonts w:ascii="Times New Roman" w:hAnsi="Times New Roman" w:cs="Times New Roman"/>
        </w:rPr>
        <w:t>1,000</w:t>
      </w:r>
      <w:r w:rsidRPr="00675E40">
        <w:rPr>
          <w:rFonts w:ascii="Times New Roman" w:hAnsi="Times New Roman" w:cs="Times New Roman"/>
        </w:rPr>
        <w:t xml:space="preserve"> for women 15-44 </w:t>
      </w:r>
      <w:r w:rsidR="00E833B9">
        <w:rPr>
          <w:rFonts w:ascii="Times New Roman" w:hAnsi="Times New Roman" w:cs="Times New Roman"/>
        </w:rPr>
        <w:t xml:space="preserve">years old, </w:t>
      </w:r>
      <w:r w:rsidRPr="00675E40">
        <w:rPr>
          <w:rFonts w:ascii="Times New Roman" w:hAnsi="Times New Roman" w:cs="Times New Roman"/>
        </w:rPr>
        <w:t>up 15 % from 2020.</w:t>
      </w:r>
    </w:p>
    <w:p w14:paraId="3FF75679" w14:textId="77777777" w:rsidR="00675E40" w:rsidRPr="00675E40" w:rsidRDefault="00675E40" w:rsidP="00675E40">
      <w:pPr>
        <w:rPr>
          <w:rFonts w:ascii="Times New Roman" w:hAnsi="Times New Roman" w:cs="Times New Roman"/>
          <w:b/>
          <w:bCs/>
          <w:i/>
          <w:iCs/>
        </w:rPr>
      </w:pPr>
      <w:r w:rsidRPr="00675E40">
        <w:rPr>
          <w:rFonts w:ascii="Times New Roman" w:hAnsi="Times New Roman" w:cs="Times New Roman"/>
          <w:b/>
          <w:bCs/>
          <w:i/>
          <w:iCs/>
        </w:rPr>
        <w:t>Procedures</w:t>
      </w:r>
    </w:p>
    <w:p w14:paraId="0EBD40B1" w14:textId="77DC11A0" w:rsidR="00675E40" w:rsidRPr="00675E40" w:rsidRDefault="00675E40" w:rsidP="00675E40">
      <w:pPr>
        <w:rPr>
          <w:rFonts w:ascii="Times New Roman" w:hAnsi="Times New Roman" w:cs="Times New Roman"/>
        </w:rPr>
      </w:pPr>
      <w:r w:rsidRPr="00675E40">
        <w:rPr>
          <w:rFonts w:ascii="Times New Roman" w:hAnsi="Times New Roman" w:cs="Times New Roman"/>
        </w:rPr>
        <w:t>Medication share has surpassed surgical: the ALSWH linkage showed a 33% annual increase in MA odds, with MA overtaking surgical abortions nationally by 2017</w:t>
      </w:r>
      <w:r w:rsidR="00E833B9">
        <w:rPr>
          <w:rFonts w:ascii="Times New Roman" w:hAnsi="Times New Roman" w:cs="Times New Roman"/>
        </w:rPr>
        <w:t xml:space="preserve">. </w:t>
      </w:r>
      <w:r w:rsidRPr="00675E40">
        <w:rPr>
          <w:rFonts w:ascii="Times New Roman" w:hAnsi="Times New Roman" w:cs="Times New Roman"/>
        </w:rPr>
        <w:t>Pharmacist dispensing and tele-consultation introduced in 2022 lifted MA to 88 % of all New Zealand abortions in 2023.</w:t>
      </w:r>
    </w:p>
    <w:p w14:paraId="0D678CE3" w14:textId="77777777" w:rsidR="00675E40" w:rsidRPr="00675E40" w:rsidRDefault="00675E40" w:rsidP="00675E40">
      <w:pPr>
        <w:rPr>
          <w:rFonts w:ascii="Times New Roman" w:hAnsi="Times New Roman" w:cs="Times New Roman"/>
          <w:b/>
          <w:bCs/>
          <w:i/>
          <w:iCs/>
        </w:rPr>
      </w:pPr>
      <w:r w:rsidRPr="00675E40">
        <w:rPr>
          <w:rFonts w:ascii="Times New Roman" w:hAnsi="Times New Roman" w:cs="Times New Roman"/>
          <w:b/>
          <w:bCs/>
          <w:i/>
          <w:iCs/>
        </w:rPr>
        <w:t>Demographics</w:t>
      </w:r>
    </w:p>
    <w:p w14:paraId="589497FC" w14:textId="692B9E76" w:rsidR="00675E40" w:rsidRPr="00675E40" w:rsidRDefault="00675E40" w:rsidP="00675E40">
      <w:pPr>
        <w:rPr>
          <w:rFonts w:ascii="Times New Roman" w:hAnsi="Times New Roman" w:cs="Times New Roman"/>
        </w:rPr>
      </w:pPr>
      <w:r w:rsidRPr="00675E40">
        <w:rPr>
          <w:rFonts w:ascii="Times New Roman" w:hAnsi="Times New Roman" w:cs="Times New Roman"/>
        </w:rPr>
        <w:t xml:space="preserve">Australian data indicate </w:t>
      </w:r>
      <w:r w:rsidR="00E833B9">
        <w:rPr>
          <w:rFonts w:ascii="Times New Roman" w:hAnsi="Times New Roman" w:cs="Times New Roman"/>
        </w:rPr>
        <w:t>the highest MA uptake among 18</w:t>
      </w:r>
      <w:r w:rsidR="007D46FE">
        <w:rPr>
          <w:rFonts w:ascii="Times New Roman" w:hAnsi="Times New Roman" w:cs="Times New Roman"/>
        </w:rPr>
        <w:t xml:space="preserve"> </w:t>
      </w:r>
      <w:r w:rsidR="00E833B9">
        <w:rPr>
          <w:rFonts w:ascii="Times New Roman" w:hAnsi="Times New Roman" w:cs="Times New Roman"/>
        </w:rPr>
        <w:t>to 24-year-olds, nulliparous women, and those outside major cities</w:t>
      </w:r>
      <w:r w:rsidR="00C11465">
        <w:rPr>
          <w:rFonts w:ascii="Times New Roman" w:hAnsi="Times New Roman" w:cs="Times New Roman"/>
        </w:rPr>
        <w:t xml:space="preserve">. </w:t>
      </w:r>
      <w:r w:rsidR="00E833B9">
        <w:rPr>
          <w:rFonts w:ascii="Times New Roman" w:hAnsi="Times New Roman" w:cs="Times New Roman"/>
        </w:rPr>
        <w:t>Indigenous and Māori women remain underrepresented</w:t>
      </w:r>
      <w:r w:rsidRPr="00675E40">
        <w:rPr>
          <w:rFonts w:ascii="Times New Roman" w:hAnsi="Times New Roman" w:cs="Times New Roman"/>
        </w:rPr>
        <w:t xml:space="preserve"> in facility data, </w:t>
      </w:r>
      <w:r w:rsidR="00E833B9" w:rsidRPr="00675E40">
        <w:rPr>
          <w:rFonts w:ascii="Times New Roman" w:hAnsi="Times New Roman" w:cs="Times New Roman"/>
        </w:rPr>
        <w:t>signaling</w:t>
      </w:r>
      <w:r w:rsidRPr="00675E40">
        <w:rPr>
          <w:rFonts w:ascii="Times New Roman" w:hAnsi="Times New Roman" w:cs="Times New Roman"/>
        </w:rPr>
        <w:t xml:space="preserve"> potential surveillance gaps.</w:t>
      </w:r>
    </w:p>
    <w:p w14:paraId="1E8F4620" w14:textId="77777777" w:rsidR="00E833B9" w:rsidRDefault="00E833B9" w:rsidP="00675E40">
      <w:pPr>
        <w:rPr>
          <w:rFonts w:ascii="Times New Roman" w:hAnsi="Times New Roman" w:cs="Times New Roman"/>
        </w:rPr>
      </w:pPr>
    </w:p>
    <w:p w14:paraId="6CF45AEE" w14:textId="77777777" w:rsidR="007D46FE" w:rsidRDefault="007D46FE" w:rsidP="00675E40">
      <w:pPr>
        <w:rPr>
          <w:rFonts w:ascii="Times New Roman" w:hAnsi="Times New Roman" w:cs="Times New Roman"/>
        </w:rPr>
      </w:pPr>
    </w:p>
    <w:p w14:paraId="49D3402B" w14:textId="77777777" w:rsidR="007D46FE" w:rsidRDefault="007D46FE" w:rsidP="00675E40">
      <w:pPr>
        <w:rPr>
          <w:rFonts w:ascii="Times New Roman" w:hAnsi="Times New Roman" w:cs="Times New Roman"/>
        </w:rPr>
      </w:pPr>
    </w:p>
    <w:p w14:paraId="7A630AEB" w14:textId="77777777" w:rsidR="007D46FE" w:rsidRDefault="007D46FE" w:rsidP="00675E40">
      <w:pPr>
        <w:rPr>
          <w:rFonts w:ascii="Times New Roman" w:hAnsi="Times New Roman" w:cs="Times New Roman"/>
        </w:rPr>
      </w:pPr>
    </w:p>
    <w:p w14:paraId="6C5EF831" w14:textId="1C164CDC" w:rsidR="00675E40" w:rsidRPr="00675E40" w:rsidRDefault="00675E40" w:rsidP="00E833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5E40">
        <w:rPr>
          <w:rFonts w:ascii="Times New Roman" w:hAnsi="Times New Roman" w:cs="Times New Roman"/>
          <w:b/>
          <w:bCs/>
          <w:sz w:val="28"/>
          <w:szCs w:val="28"/>
        </w:rPr>
        <w:lastRenderedPageBreak/>
        <w:t>Comparative Overview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9"/>
        <w:gridCol w:w="1790"/>
        <w:gridCol w:w="1369"/>
        <w:gridCol w:w="2000"/>
        <w:gridCol w:w="1562"/>
      </w:tblGrid>
      <w:tr w:rsidR="007D46FE" w:rsidRPr="00675E40" w14:paraId="4EF52EAE" w14:textId="77777777" w:rsidTr="00675E4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645242" w14:textId="77777777" w:rsidR="00675E40" w:rsidRPr="00675E40" w:rsidRDefault="00675E40" w:rsidP="00675E40">
            <w:pPr>
              <w:rPr>
                <w:rFonts w:ascii="Times New Roman" w:hAnsi="Times New Roman" w:cs="Times New Roman"/>
              </w:rPr>
            </w:pPr>
            <w:r w:rsidRPr="00675E40">
              <w:rPr>
                <w:rFonts w:ascii="Times New Roman" w:hAnsi="Times New Roman" w:cs="Times New Roman"/>
              </w:rPr>
              <w:t>Continent</w:t>
            </w:r>
          </w:p>
        </w:tc>
        <w:tc>
          <w:tcPr>
            <w:tcW w:w="0" w:type="auto"/>
            <w:vAlign w:val="center"/>
            <w:hideMark/>
          </w:tcPr>
          <w:p w14:paraId="2DB47B87" w14:textId="77777777" w:rsidR="00675E40" w:rsidRPr="00675E40" w:rsidRDefault="00675E40" w:rsidP="00675E40">
            <w:pPr>
              <w:rPr>
                <w:rFonts w:ascii="Times New Roman" w:hAnsi="Times New Roman" w:cs="Times New Roman"/>
              </w:rPr>
            </w:pPr>
            <w:r w:rsidRPr="00675E40">
              <w:rPr>
                <w:rFonts w:ascii="Times New Roman" w:hAnsi="Times New Roman" w:cs="Times New Roman"/>
              </w:rPr>
              <w:t>Annual abortions*</w:t>
            </w:r>
          </w:p>
        </w:tc>
        <w:tc>
          <w:tcPr>
            <w:tcW w:w="0" w:type="auto"/>
            <w:vAlign w:val="center"/>
            <w:hideMark/>
          </w:tcPr>
          <w:p w14:paraId="7FF3C3CE" w14:textId="2FAEBA8A" w:rsidR="00675E40" w:rsidRPr="00675E40" w:rsidRDefault="00675E40" w:rsidP="00675E40">
            <w:pPr>
              <w:rPr>
                <w:rFonts w:ascii="Times New Roman" w:hAnsi="Times New Roman" w:cs="Times New Roman"/>
              </w:rPr>
            </w:pPr>
            <w:r w:rsidRPr="00675E40">
              <w:rPr>
                <w:rFonts w:ascii="Times New Roman" w:hAnsi="Times New Roman" w:cs="Times New Roman"/>
              </w:rPr>
              <w:t>Rate/1</w:t>
            </w:r>
            <w:r w:rsidR="00805FB8">
              <w:rPr>
                <w:rFonts w:ascii="Times New Roman" w:hAnsi="Times New Roman" w:cs="Times New Roman"/>
              </w:rPr>
              <w:t>,</w:t>
            </w:r>
            <w:r w:rsidRPr="00675E40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0" w:type="auto"/>
            <w:vAlign w:val="center"/>
            <w:hideMark/>
          </w:tcPr>
          <w:p w14:paraId="45ABA6E7" w14:textId="77777777" w:rsidR="00675E40" w:rsidRPr="00675E40" w:rsidRDefault="00675E40" w:rsidP="00675E40">
            <w:pPr>
              <w:rPr>
                <w:rFonts w:ascii="Times New Roman" w:hAnsi="Times New Roman" w:cs="Times New Roman"/>
              </w:rPr>
            </w:pPr>
            <w:r w:rsidRPr="00675E40">
              <w:rPr>
                <w:rFonts w:ascii="Times New Roman" w:hAnsi="Times New Roman" w:cs="Times New Roman"/>
              </w:rPr>
              <w:t xml:space="preserve">MA share (≤ 12 </w:t>
            </w:r>
            <w:proofErr w:type="spellStart"/>
            <w:r w:rsidRPr="00675E40">
              <w:rPr>
                <w:rFonts w:ascii="Times New Roman" w:hAnsi="Times New Roman" w:cs="Times New Roman"/>
              </w:rPr>
              <w:t>wks</w:t>
            </w:r>
            <w:proofErr w:type="spellEnd"/>
            <w:r w:rsidRPr="00675E4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52EC980" w14:textId="77777777" w:rsidR="00675E40" w:rsidRPr="00675E40" w:rsidRDefault="00675E40" w:rsidP="00675E40">
            <w:pPr>
              <w:rPr>
                <w:rFonts w:ascii="Times New Roman" w:hAnsi="Times New Roman" w:cs="Times New Roman"/>
              </w:rPr>
            </w:pPr>
            <w:r w:rsidRPr="00675E40">
              <w:rPr>
                <w:rFonts w:ascii="Times New Roman" w:hAnsi="Times New Roman" w:cs="Times New Roman"/>
              </w:rPr>
              <w:t>Modal age band</w:t>
            </w:r>
          </w:p>
        </w:tc>
      </w:tr>
      <w:tr w:rsidR="007D46FE" w:rsidRPr="00675E40" w14:paraId="31DD0A7A" w14:textId="77777777" w:rsidTr="00675E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0CBABB" w14:textId="77777777" w:rsidR="00675E40" w:rsidRPr="00675E40" w:rsidRDefault="00675E40" w:rsidP="00675E40">
            <w:pPr>
              <w:rPr>
                <w:rFonts w:ascii="Times New Roman" w:hAnsi="Times New Roman" w:cs="Times New Roman"/>
              </w:rPr>
            </w:pPr>
            <w:r w:rsidRPr="00675E40">
              <w:rPr>
                <w:rFonts w:ascii="Times New Roman" w:hAnsi="Times New Roman" w:cs="Times New Roman"/>
              </w:rPr>
              <w:t>Africa</w:t>
            </w:r>
          </w:p>
        </w:tc>
        <w:tc>
          <w:tcPr>
            <w:tcW w:w="0" w:type="auto"/>
            <w:vAlign w:val="center"/>
            <w:hideMark/>
          </w:tcPr>
          <w:p w14:paraId="16645288" w14:textId="56E9506D" w:rsidR="00675E40" w:rsidRPr="00675E40" w:rsidRDefault="00675E40" w:rsidP="00675E40">
            <w:pPr>
              <w:rPr>
                <w:rFonts w:ascii="Times New Roman" w:hAnsi="Times New Roman" w:cs="Times New Roman"/>
              </w:rPr>
            </w:pPr>
            <w:r w:rsidRPr="00675E40">
              <w:rPr>
                <w:rFonts w:ascii="Times New Roman" w:hAnsi="Times New Roman" w:cs="Times New Roman"/>
              </w:rPr>
              <w:t>8 m</w:t>
            </w:r>
          </w:p>
        </w:tc>
        <w:tc>
          <w:tcPr>
            <w:tcW w:w="0" w:type="auto"/>
            <w:vAlign w:val="center"/>
            <w:hideMark/>
          </w:tcPr>
          <w:p w14:paraId="21BEE088" w14:textId="77777777" w:rsidR="00675E40" w:rsidRPr="00675E40" w:rsidRDefault="00675E40" w:rsidP="00675E40">
            <w:pPr>
              <w:rPr>
                <w:rFonts w:ascii="Times New Roman" w:hAnsi="Times New Roman" w:cs="Times New Roman"/>
              </w:rPr>
            </w:pPr>
            <w:r w:rsidRPr="00675E4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32B892EE" w14:textId="77777777" w:rsidR="00675E40" w:rsidRPr="00675E40" w:rsidRDefault="00675E40" w:rsidP="00675E40">
            <w:pPr>
              <w:rPr>
                <w:rFonts w:ascii="Times New Roman" w:hAnsi="Times New Roman" w:cs="Times New Roman"/>
              </w:rPr>
            </w:pPr>
            <w:r w:rsidRPr="00675E40">
              <w:rPr>
                <w:rFonts w:ascii="Times New Roman" w:hAnsi="Times New Roman" w:cs="Times New Roman"/>
              </w:rPr>
              <w:t>45-60 %†</w:t>
            </w:r>
          </w:p>
        </w:tc>
        <w:tc>
          <w:tcPr>
            <w:tcW w:w="0" w:type="auto"/>
            <w:vAlign w:val="center"/>
            <w:hideMark/>
          </w:tcPr>
          <w:p w14:paraId="6DE97FE9" w14:textId="77777777" w:rsidR="00675E40" w:rsidRPr="00675E40" w:rsidRDefault="00675E40" w:rsidP="00675E40">
            <w:pPr>
              <w:rPr>
                <w:rFonts w:ascii="Times New Roman" w:hAnsi="Times New Roman" w:cs="Times New Roman"/>
              </w:rPr>
            </w:pPr>
            <w:r w:rsidRPr="00675E40">
              <w:rPr>
                <w:rFonts w:ascii="Times New Roman" w:hAnsi="Times New Roman" w:cs="Times New Roman"/>
              </w:rPr>
              <w:t>20-29</w:t>
            </w:r>
          </w:p>
        </w:tc>
      </w:tr>
      <w:tr w:rsidR="007D46FE" w:rsidRPr="00675E40" w14:paraId="318D714D" w14:textId="77777777" w:rsidTr="00675E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E7B57A" w14:textId="77777777" w:rsidR="00675E40" w:rsidRPr="00675E40" w:rsidRDefault="00675E40" w:rsidP="00675E40">
            <w:pPr>
              <w:rPr>
                <w:rFonts w:ascii="Times New Roman" w:hAnsi="Times New Roman" w:cs="Times New Roman"/>
              </w:rPr>
            </w:pPr>
            <w:r w:rsidRPr="00675E40">
              <w:rPr>
                <w:rFonts w:ascii="Times New Roman" w:hAnsi="Times New Roman" w:cs="Times New Roman"/>
              </w:rPr>
              <w:t>Asia</w:t>
            </w:r>
          </w:p>
        </w:tc>
        <w:tc>
          <w:tcPr>
            <w:tcW w:w="0" w:type="auto"/>
            <w:vAlign w:val="center"/>
            <w:hideMark/>
          </w:tcPr>
          <w:p w14:paraId="5F29C3EA" w14:textId="789DCA16" w:rsidR="00675E40" w:rsidRPr="00675E40" w:rsidRDefault="00675E40" w:rsidP="00675E40">
            <w:pPr>
              <w:rPr>
                <w:rFonts w:ascii="Times New Roman" w:hAnsi="Times New Roman" w:cs="Times New Roman"/>
              </w:rPr>
            </w:pPr>
            <w:r w:rsidRPr="00675E40">
              <w:rPr>
                <w:rFonts w:ascii="Times New Roman" w:hAnsi="Times New Roman" w:cs="Times New Roman"/>
              </w:rPr>
              <w:t>34 m</w:t>
            </w:r>
          </w:p>
        </w:tc>
        <w:tc>
          <w:tcPr>
            <w:tcW w:w="0" w:type="auto"/>
            <w:vAlign w:val="center"/>
            <w:hideMark/>
          </w:tcPr>
          <w:p w14:paraId="604DC37E" w14:textId="77777777" w:rsidR="00675E40" w:rsidRPr="00675E40" w:rsidRDefault="00675E40" w:rsidP="00675E40">
            <w:pPr>
              <w:rPr>
                <w:rFonts w:ascii="Times New Roman" w:hAnsi="Times New Roman" w:cs="Times New Roman"/>
              </w:rPr>
            </w:pPr>
            <w:r w:rsidRPr="00675E4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2251B0A9" w14:textId="77777777" w:rsidR="00675E40" w:rsidRPr="00675E40" w:rsidRDefault="00675E40" w:rsidP="00675E40">
            <w:pPr>
              <w:rPr>
                <w:rFonts w:ascii="Times New Roman" w:hAnsi="Times New Roman" w:cs="Times New Roman"/>
              </w:rPr>
            </w:pPr>
            <w:r w:rsidRPr="00675E40">
              <w:rPr>
                <w:rFonts w:ascii="Times New Roman" w:hAnsi="Times New Roman" w:cs="Times New Roman"/>
              </w:rPr>
              <w:t>55-75 %</w:t>
            </w:r>
          </w:p>
        </w:tc>
        <w:tc>
          <w:tcPr>
            <w:tcW w:w="0" w:type="auto"/>
            <w:vAlign w:val="center"/>
            <w:hideMark/>
          </w:tcPr>
          <w:p w14:paraId="32F30ED9" w14:textId="77777777" w:rsidR="00675E40" w:rsidRPr="00675E40" w:rsidRDefault="00675E40" w:rsidP="00675E40">
            <w:pPr>
              <w:rPr>
                <w:rFonts w:ascii="Times New Roman" w:hAnsi="Times New Roman" w:cs="Times New Roman"/>
              </w:rPr>
            </w:pPr>
            <w:r w:rsidRPr="00675E40">
              <w:rPr>
                <w:rFonts w:ascii="Times New Roman" w:hAnsi="Times New Roman" w:cs="Times New Roman"/>
              </w:rPr>
              <w:t>25-34</w:t>
            </w:r>
          </w:p>
        </w:tc>
      </w:tr>
      <w:tr w:rsidR="007D46FE" w:rsidRPr="00675E40" w14:paraId="7C2B25D4" w14:textId="77777777" w:rsidTr="00675E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4061FA" w14:textId="77777777" w:rsidR="00675E40" w:rsidRPr="00675E40" w:rsidRDefault="00675E40" w:rsidP="00675E40">
            <w:pPr>
              <w:rPr>
                <w:rFonts w:ascii="Times New Roman" w:hAnsi="Times New Roman" w:cs="Times New Roman"/>
              </w:rPr>
            </w:pPr>
            <w:r w:rsidRPr="00675E40">
              <w:rPr>
                <w:rFonts w:ascii="Times New Roman" w:hAnsi="Times New Roman" w:cs="Times New Roman"/>
              </w:rPr>
              <w:t>Europe</w:t>
            </w:r>
          </w:p>
        </w:tc>
        <w:tc>
          <w:tcPr>
            <w:tcW w:w="0" w:type="auto"/>
            <w:vAlign w:val="center"/>
            <w:hideMark/>
          </w:tcPr>
          <w:p w14:paraId="32FB86D8" w14:textId="4333A726" w:rsidR="00675E40" w:rsidRPr="00675E40" w:rsidRDefault="00675E40" w:rsidP="00675E40">
            <w:pPr>
              <w:rPr>
                <w:rFonts w:ascii="Times New Roman" w:hAnsi="Times New Roman" w:cs="Times New Roman"/>
              </w:rPr>
            </w:pPr>
            <w:r w:rsidRPr="00675E40">
              <w:rPr>
                <w:rFonts w:ascii="Times New Roman" w:hAnsi="Times New Roman" w:cs="Times New Roman"/>
              </w:rPr>
              <w:t>4 m</w:t>
            </w:r>
          </w:p>
        </w:tc>
        <w:tc>
          <w:tcPr>
            <w:tcW w:w="0" w:type="auto"/>
            <w:vAlign w:val="center"/>
            <w:hideMark/>
          </w:tcPr>
          <w:p w14:paraId="7670C9D5" w14:textId="77777777" w:rsidR="00675E40" w:rsidRPr="00675E40" w:rsidRDefault="00675E40" w:rsidP="00675E40">
            <w:pPr>
              <w:rPr>
                <w:rFonts w:ascii="Times New Roman" w:hAnsi="Times New Roman" w:cs="Times New Roman"/>
              </w:rPr>
            </w:pPr>
            <w:r w:rsidRPr="00675E4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5FFBE783" w14:textId="77777777" w:rsidR="00675E40" w:rsidRPr="00675E40" w:rsidRDefault="00675E40" w:rsidP="00675E40">
            <w:pPr>
              <w:rPr>
                <w:rFonts w:ascii="Times New Roman" w:hAnsi="Times New Roman" w:cs="Times New Roman"/>
              </w:rPr>
            </w:pPr>
            <w:r w:rsidRPr="00675E40">
              <w:rPr>
                <w:rFonts w:ascii="Times New Roman" w:hAnsi="Times New Roman" w:cs="Times New Roman"/>
              </w:rPr>
              <w:t>74-90 %</w:t>
            </w:r>
          </w:p>
        </w:tc>
        <w:tc>
          <w:tcPr>
            <w:tcW w:w="0" w:type="auto"/>
            <w:vAlign w:val="center"/>
            <w:hideMark/>
          </w:tcPr>
          <w:p w14:paraId="5DED8599" w14:textId="77777777" w:rsidR="00675E40" w:rsidRPr="00675E40" w:rsidRDefault="00675E40" w:rsidP="00675E40">
            <w:pPr>
              <w:rPr>
                <w:rFonts w:ascii="Times New Roman" w:hAnsi="Times New Roman" w:cs="Times New Roman"/>
              </w:rPr>
            </w:pPr>
            <w:r w:rsidRPr="00675E40">
              <w:rPr>
                <w:rFonts w:ascii="Times New Roman" w:hAnsi="Times New Roman" w:cs="Times New Roman"/>
              </w:rPr>
              <w:t>25-34</w:t>
            </w:r>
          </w:p>
        </w:tc>
      </w:tr>
      <w:tr w:rsidR="007D46FE" w:rsidRPr="00675E40" w14:paraId="26223DAF" w14:textId="77777777" w:rsidTr="00675E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5741C2" w14:textId="77777777" w:rsidR="00675E40" w:rsidRPr="00675E40" w:rsidRDefault="00675E40" w:rsidP="00675E40">
            <w:pPr>
              <w:rPr>
                <w:rFonts w:ascii="Times New Roman" w:hAnsi="Times New Roman" w:cs="Times New Roman"/>
              </w:rPr>
            </w:pPr>
            <w:r w:rsidRPr="00675E40">
              <w:rPr>
                <w:rFonts w:ascii="Times New Roman" w:hAnsi="Times New Roman" w:cs="Times New Roman"/>
              </w:rPr>
              <w:t>North America</w:t>
            </w:r>
          </w:p>
        </w:tc>
        <w:tc>
          <w:tcPr>
            <w:tcW w:w="0" w:type="auto"/>
            <w:vAlign w:val="center"/>
            <w:hideMark/>
          </w:tcPr>
          <w:p w14:paraId="1482802D" w14:textId="3231B489" w:rsidR="00675E40" w:rsidRPr="00675E40" w:rsidRDefault="00675E40" w:rsidP="00675E40">
            <w:pPr>
              <w:rPr>
                <w:rFonts w:ascii="Times New Roman" w:hAnsi="Times New Roman" w:cs="Times New Roman"/>
              </w:rPr>
            </w:pPr>
            <w:r w:rsidRPr="00675E40">
              <w:rPr>
                <w:rFonts w:ascii="Times New Roman" w:hAnsi="Times New Roman" w:cs="Times New Roman"/>
              </w:rPr>
              <w:t>0.6 m (US)</w:t>
            </w:r>
          </w:p>
        </w:tc>
        <w:tc>
          <w:tcPr>
            <w:tcW w:w="0" w:type="auto"/>
            <w:vAlign w:val="center"/>
            <w:hideMark/>
          </w:tcPr>
          <w:p w14:paraId="6D7C09DF" w14:textId="77777777" w:rsidR="00675E40" w:rsidRPr="00675E40" w:rsidRDefault="00675E40" w:rsidP="00675E40">
            <w:pPr>
              <w:rPr>
                <w:rFonts w:ascii="Times New Roman" w:hAnsi="Times New Roman" w:cs="Times New Roman"/>
              </w:rPr>
            </w:pPr>
            <w:r w:rsidRPr="00675E40">
              <w:rPr>
                <w:rFonts w:ascii="Times New Roman" w:hAnsi="Times New Roman" w:cs="Times New Roman"/>
              </w:rPr>
              <w:t>11 (US)</w:t>
            </w:r>
          </w:p>
        </w:tc>
        <w:tc>
          <w:tcPr>
            <w:tcW w:w="0" w:type="auto"/>
            <w:vAlign w:val="center"/>
            <w:hideMark/>
          </w:tcPr>
          <w:p w14:paraId="4A93B3CF" w14:textId="77777777" w:rsidR="00675E40" w:rsidRPr="00675E40" w:rsidRDefault="00675E40" w:rsidP="00675E40">
            <w:pPr>
              <w:rPr>
                <w:rFonts w:ascii="Times New Roman" w:hAnsi="Times New Roman" w:cs="Times New Roman"/>
              </w:rPr>
            </w:pPr>
            <w:r w:rsidRPr="00675E40">
              <w:rPr>
                <w:rFonts w:ascii="Times New Roman" w:hAnsi="Times New Roman" w:cs="Times New Roman"/>
              </w:rPr>
              <w:t>53 % (all)</w:t>
            </w:r>
          </w:p>
        </w:tc>
        <w:tc>
          <w:tcPr>
            <w:tcW w:w="0" w:type="auto"/>
            <w:vAlign w:val="center"/>
            <w:hideMark/>
          </w:tcPr>
          <w:p w14:paraId="1F65F986" w14:textId="77777777" w:rsidR="00675E40" w:rsidRPr="00675E40" w:rsidRDefault="00675E40" w:rsidP="00675E40">
            <w:pPr>
              <w:rPr>
                <w:rFonts w:ascii="Times New Roman" w:hAnsi="Times New Roman" w:cs="Times New Roman"/>
              </w:rPr>
            </w:pPr>
            <w:r w:rsidRPr="00675E40">
              <w:rPr>
                <w:rFonts w:ascii="Times New Roman" w:hAnsi="Times New Roman" w:cs="Times New Roman"/>
              </w:rPr>
              <w:t>20-29</w:t>
            </w:r>
          </w:p>
        </w:tc>
      </w:tr>
      <w:tr w:rsidR="007D46FE" w:rsidRPr="00675E40" w14:paraId="287B2C20" w14:textId="77777777" w:rsidTr="00675E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A5184D" w14:textId="476C07BA" w:rsidR="00675E40" w:rsidRPr="00675E40" w:rsidRDefault="007D46FE" w:rsidP="00675E40">
            <w:pPr>
              <w:rPr>
                <w:rFonts w:ascii="Times New Roman" w:hAnsi="Times New Roman" w:cs="Times New Roman"/>
              </w:rPr>
            </w:pPr>
            <w:r w:rsidRPr="00675E40">
              <w:rPr>
                <w:rFonts w:ascii="Times New Roman" w:hAnsi="Times New Roman" w:cs="Times New Roman"/>
              </w:rPr>
              <w:t>Lat</w:t>
            </w:r>
            <w:r>
              <w:rPr>
                <w:rFonts w:ascii="Times New Roman" w:hAnsi="Times New Roman" w:cs="Times New Roman"/>
              </w:rPr>
              <w:t xml:space="preserve">in </w:t>
            </w:r>
            <w:r w:rsidRPr="00675E40">
              <w:rPr>
                <w:rFonts w:ascii="Times New Roman" w:hAnsi="Times New Roman" w:cs="Times New Roman"/>
              </w:rPr>
              <w:t>America</w:t>
            </w:r>
            <w:r w:rsidR="00675E40" w:rsidRPr="00675E40">
              <w:rPr>
                <w:rFonts w:ascii="Times New Roman" w:hAnsi="Times New Roman" w:cs="Times New Roman"/>
              </w:rPr>
              <w:t xml:space="preserve"> &amp; Caribbean</w:t>
            </w:r>
          </w:p>
        </w:tc>
        <w:tc>
          <w:tcPr>
            <w:tcW w:w="0" w:type="auto"/>
            <w:vAlign w:val="center"/>
            <w:hideMark/>
          </w:tcPr>
          <w:p w14:paraId="7AA1FE83" w14:textId="4E9545E0" w:rsidR="00675E40" w:rsidRPr="00675E40" w:rsidRDefault="00675E40" w:rsidP="00675E40">
            <w:pPr>
              <w:rPr>
                <w:rFonts w:ascii="Times New Roman" w:hAnsi="Times New Roman" w:cs="Times New Roman"/>
              </w:rPr>
            </w:pPr>
            <w:r w:rsidRPr="00675E40">
              <w:rPr>
                <w:rFonts w:ascii="Times New Roman" w:hAnsi="Times New Roman" w:cs="Times New Roman"/>
              </w:rPr>
              <w:t>5.7 m</w:t>
            </w:r>
          </w:p>
        </w:tc>
        <w:tc>
          <w:tcPr>
            <w:tcW w:w="0" w:type="auto"/>
            <w:vAlign w:val="center"/>
            <w:hideMark/>
          </w:tcPr>
          <w:p w14:paraId="33ADDECD" w14:textId="77777777" w:rsidR="00675E40" w:rsidRPr="00675E40" w:rsidRDefault="00675E40" w:rsidP="00675E40">
            <w:pPr>
              <w:rPr>
                <w:rFonts w:ascii="Times New Roman" w:hAnsi="Times New Roman" w:cs="Times New Roman"/>
              </w:rPr>
            </w:pPr>
            <w:r w:rsidRPr="00675E4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30493803" w14:textId="77777777" w:rsidR="00675E40" w:rsidRPr="00675E40" w:rsidRDefault="00675E40" w:rsidP="00675E40">
            <w:pPr>
              <w:rPr>
                <w:rFonts w:ascii="Times New Roman" w:hAnsi="Times New Roman" w:cs="Times New Roman"/>
              </w:rPr>
            </w:pPr>
            <w:r w:rsidRPr="00675E40">
              <w:rPr>
                <w:rFonts w:ascii="Times New Roman" w:hAnsi="Times New Roman" w:cs="Times New Roman"/>
              </w:rPr>
              <w:t>90-98 %</w:t>
            </w:r>
          </w:p>
        </w:tc>
        <w:tc>
          <w:tcPr>
            <w:tcW w:w="0" w:type="auto"/>
            <w:vAlign w:val="center"/>
            <w:hideMark/>
          </w:tcPr>
          <w:p w14:paraId="03F6A741" w14:textId="77777777" w:rsidR="00675E40" w:rsidRPr="00675E40" w:rsidRDefault="00675E40" w:rsidP="00675E40">
            <w:pPr>
              <w:rPr>
                <w:rFonts w:ascii="Times New Roman" w:hAnsi="Times New Roman" w:cs="Times New Roman"/>
              </w:rPr>
            </w:pPr>
            <w:r w:rsidRPr="00675E40">
              <w:rPr>
                <w:rFonts w:ascii="Times New Roman" w:hAnsi="Times New Roman" w:cs="Times New Roman"/>
              </w:rPr>
              <w:t>20-29</w:t>
            </w:r>
          </w:p>
        </w:tc>
      </w:tr>
      <w:tr w:rsidR="007D46FE" w:rsidRPr="00675E40" w14:paraId="75F7178B" w14:textId="77777777" w:rsidTr="00675E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58945B" w14:textId="77777777" w:rsidR="00675E40" w:rsidRPr="00675E40" w:rsidRDefault="00675E40" w:rsidP="00675E40">
            <w:pPr>
              <w:rPr>
                <w:rFonts w:ascii="Times New Roman" w:hAnsi="Times New Roman" w:cs="Times New Roman"/>
              </w:rPr>
            </w:pPr>
            <w:r w:rsidRPr="00675E40">
              <w:rPr>
                <w:rFonts w:ascii="Times New Roman" w:hAnsi="Times New Roman" w:cs="Times New Roman"/>
              </w:rPr>
              <w:t>Oceania</w:t>
            </w:r>
          </w:p>
        </w:tc>
        <w:tc>
          <w:tcPr>
            <w:tcW w:w="0" w:type="auto"/>
            <w:vAlign w:val="center"/>
            <w:hideMark/>
          </w:tcPr>
          <w:p w14:paraId="19401A89" w14:textId="3F125182" w:rsidR="00675E40" w:rsidRPr="00675E40" w:rsidRDefault="00675E40" w:rsidP="00675E40">
            <w:pPr>
              <w:rPr>
                <w:rFonts w:ascii="Times New Roman" w:hAnsi="Times New Roman" w:cs="Times New Roman"/>
              </w:rPr>
            </w:pPr>
            <w:r w:rsidRPr="00675E40">
              <w:rPr>
                <w:rFonts w:ascii="Times New Roman" w:hAnsi="Times New Roman" w:cs="Times New Roman"/>
              </w:rPr>
              <w:t>0.1 m</w:t>
            </w:r>
          </w:p>
        </w:tc>
        <w:tc>
          <w:tcPr>
            <w:tcW w:w="0" w:type="auto"/>
            <w:vAlign w:val="center"/>
            <w:hideMark/>
          </w:tcPr>
          <w:p w14:paraId="4B46CB71" w14:textId="77777777" w:rsidR="00675E40" w:rsidRPr="00675E40" w:rsidRDefault="00675E40" w:rsidP="00675E40">
            <w:pPr>
              <w:rPr>
                <w:rFonts w:ascii="Times New Roman" w:hAnsi="Times New Roman" w:cs="Times New Roman"/>
              </w:rPr>
            </w:pPr>
            <w:r w:rsidRPr="00675E40">
              <w:rPr>
                <w:rFonts w:ascii="Times New Roman" w:hAnsi="Times New Roman" w:cs="Times New Roman"/>
              </w:rPr>
              <w:t>20 (AUS/NZ)</w:t>
            </w:r>
          </w:p>
        </w:tc>
        <w:tc>
          <w:tcPr>
            <w:tcW w:w="0" w:type="auto"/>
            <w:vAlign w:val="center"/>
            <w:hideMark/>
          </w:tcPr>
          <w:p w14:paraId="75F78770" w14:textId="77777777" w:rsidR="00675E40" w:rsidRPr="00675E40" w:rsidRDefault="00675E40" w:rsidP="00675E40">
            <w:pPr>
              <w:rPr>
                <w:rFonts w:ascii="Times New Roman" w:hAnsi="Times New Roman" w:cs="Times New Roman"/>
              </w:rPr>
            </w:pPr>
            <w:r w:rsidRPr="00675E40">
              <w:rPr>
                <w:rFonts w:ascii="Times New Roman" w:hAnsi="Times New Roman" w:cs="Times New Roman"/>
              </w:rPr>
              <w:t>75-88 %</w:t>
            </w:r>
          </w:p>
        </w:tc>
        <w:tc>
          <w:tcPr>
            <w:tcW w:w="0" w:type="auto"/>
            <w:vAlign w:val="center"/>
            <w:hideMark/>
          </w:tcPr>
          <w:p w14:paraId="3413C847" w14:textId="77777777" w:rsidR="00675E40" w:rsidRPr="00675E40" w:rsidRDefault="00675E40" w:rsidP="00675E40">
            <w:pPr>
              <w:rPr>
                <w:rFonts w:ascii="Times New Roman" w:hAnsi="Times New Roman" w:cs="Times New Roman"/>
              </w:rPr>
            </w:pPr>
            <w:r w:rsidRPr="00675E40">
              <w:rPr>
                <w:rFonts w:ascii="Times New Roman" w:hAnsi="Times New Roman" w:cs="Times New Roman"/>
              </w:rPr>
              <w:t>18-29</w:t>
            </w:r>
          </w:p>
        </w:tc>
      </w:tr>
    </w:tbl>
    <w:p w14:paraId="234F21D7" w14:textId="5D370FEE" w:rsidR="00675E40" w:rsidRPr="00675E40" w:rsidRDefault="00675E40" w:rsidP="00675E40">
      <w:pPr>
        <w:rPr>
          <w:rFonts w:ascii="Times New Roman" w:hAnsi="Times New Roman" w:cs="Times New Roman"/>
        </w:rPr>
      </w:pPr>
      <w:r w:rsidRPr="00675E40">
        <w:rPr>
          <w:rFonts w:ascii="Times New Roman" w:hAnsi="Times New Roman" w:cs="Times New Roman"/>
        </w:rPr>
        <w:t>*</w:t>
      </w:r>
      <w:r w:rsidR="007D46FE">
        <w:rPr>
          <w:rFonts w:ascii="Times New Roman" w:hAnsi="Times New Roman" w:cs="Times New Roman"/>
        </w:rPr>
        <w:t>Approximate and r</w:t>
      </w:r>
      <w:r w:rsidRPr="00675E40">
        <w:rPr>
          <w:rFonts w:ascii="Times New Roman" w:hAnsi="Times New Roman" w:cs="Times New Roman"/>
        </w:rPr>
        <w:t>ounded, based on most recent estimates.</w:t>
      </w:r>
      <w:r w:rsidRPr="00675E40">
        <w:rPr>
          <w:rFonts w:ascii="Times New Roman" w:hAnsi="Times New Roman" w:cs="Times New Roman"/>
        </w:rPr>
        <w:br/>
        <w:t xml:space="preserve">†Urban public-sector facilities; continent-wide surveillance </w:t>
      </w:r>
      <w:r w:rsidR="00805FB8">
        <w:rPr>
          <w:rFonts w:ascii="Times New Roman" w:hAnsi="Times New Roman" w:cs="Times New Roman"/>
        </w:rPr>
        <w:t xml:space="preserve">is </w:t>
      </w:r>
      <w:r w:rsidRPr="00675E40">
        <w:rPr>
          <w:rFonts w:ascii="Times New Roman" w:hAnsi="Times New Roman" w:cs="Times New Roman"/>
        </w:rPr>
        <w:t>incomplete.</w:t>
      </w:r>
    </w:p>
    <w:p w14:paraId="2DD1EFC7" w14:textId="77777777" w:rsidR="00675E40" w:rsidRPr="00675E40" w:rsidRDefault="00675E40" w:rsidP="00675E40">
      <w:pPr>
        <w:rPr>
          <w:rFonts w:ascii="Times New Roman" w:hAnsi="Times New Roman" w:cs="Times New Roman"/>
          <w:b/>
          <w:bCs/>
          <w:i/>
          <w:iCs/>
        </w:rPr>
      </w:pPr>
      <w:r w:rsidRPr="00675E40">
        <w:rPr>
          <w:rFonts w:ascii="Times New Roman" w:hAnsi="Times New Roman" w:cs="Times New Roman"/>
          <w:b/>
          <w:bCs/>
          <w:i/>
          <w:iCs/>
        </w:rPr>
        <w:t>Key convergences</w:t>
      </w:r>
    </w:p>
    <w:p w14:paraId="69E86162" w14:textId="77777777" w:rsidR="00675E40" w:rsidRPr="00675E40" w:rsidRDefault="00675E40" w:rsidP="00675E4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675E40">
        <w:rPr>
          <w:rFonts w:ascii="Times New Roman" w:hAnsi="Times New Roman" w:cs="Times New Roman"/>
        </w:rPr>
        <w:t>Global MA ascendance: Every continent with comprehensive data reports MA as the majority first-trimester method.</w:t>
      </w:r>
    </w:p>
    <w:p w14:paraId="12ECE05E" w14:textId="77ECC2A9" w:rsidR="00675E40" w:rsidRPr="00675E40" w:rsidRDefault="00675E40" w:rsidP="00675E4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675E40">
        <w:rPr>
          <w:rFonts w:ascii="Times New Roman" w:hAnsi="Times New Roman" w:cs="Times New Roman"/>
        </w:rPr>
        <w:t>Early-gestation concentration: ≥70 % of abortions occur ≤ 9 weeks in Europe, North America</w:t>
      </w:r>
      <w:r w:rsidR="007D46FE">
        <w:rPr>
          <w:rFonts w:ascii="Times New Roman" w:hAnsi="Times New Roman" w:cs="Times New Roman"/>
        </w:rPr>
        <w:t>,</w:t>
      </w:r>
      <w:r w:rsidRPr="00675E40">
        <w:rPr>
          <w:rFonts w:ascii="Times New Roman" w:hAnsi="Times New Roman" w:cs="Times New Roman"/>
        </w:rPr>
        <w:t xml:space="preserve"> and Oceania; modelling predicts similar distributions elsewhere.</w:t>
      </w:r>
    </w:p>
    <w:p w14:paraId="246841FA" w14:textId="77777777" w:rsidR="00675E40" w:rsidRPr="00675E40" w:rsidRDefault="00675E40" w:rsidP="00675E4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675E40">
        <w:rPr>
          <w:rFonts w:ascii="Times New Roman" w:hAnsi="Times New Roman" w:cs="Times New Roman"/>
        </w:rPr>
        <w:t>Age consistency: Women in their twenties remain the principal abortion group worldwide.</w:t>
      </w:r>
    </w:p>
    <w:p w14:paraId="4EB7E6C4" w14:textId="77777777" w:rsidR="00675E40" w:rsidRPr="00675E40" w:rsidRDefault="00675E40" w:rsidP="00675E40">
      <w:pPr>
        <w:rPr>
          <w:rFonts w:ascii="Times New Roman" w:hAnsi="Times New Roman" w:cs="Times New Roman"/>
          <w:b/>
          <w:bCs/>
          <w:i/>
          <w:iCs/>
        </w:rPr>
      </w:pPr>
      <w:r w:rsidRPr="00675E40">
        <w:rPr>
          <w:rFonts w:ascii="Times New Roman" w:hAnsi="Times New Roman" w:cs="Times New Roman"/>
          <w:b/>
          <w:bCs/>
          <w:i/>
          <w:iCs/>
        </w:rPr>
        <w:t>Persistent differences</w:t>
      </w:r>
    </w:p>
    <w:p w14:paraId="001CC9F8" w14:textId="379354BC" w:rsidR="00675E40" w:rsidRPr="00675E40" w:rsidRDefault="00675E40" w:rsidP="00675E40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675E40">
        <w:rPr>
          <w:rFonts w:ascii="Times New Roman" w:hAnsi="Times New Roman" w:cs="Times New Roman"/>
        </w:rPr>
        <w:t xml:space="preserve">Incidence: Africa and Latin America register rates </w:t>
      </w:r>
      <w:r w:rsidR="00C11465">
        <w:rPr>
          <w:rFonts w:ascii="Times New Roman" w:hAnsi="Times New Roman" w:cs="Times New Roman"/>
        </w:rPr>
        <w:t xml:space="preserve">are </w:t>
      </w:r>
      <w:r w:rsidRPr="00675E40">
        <w:rPr>
          <w:rFonts w:ascii="Times New Roman" w:hAnsi="Times New Roman" w:cs="Times New Roman"/>
        </w:rPr>
        <w:t>roughly double those of Europe and North America.</w:t>
      </w:r>
    </w:p>
    <w:p w14:paraId="6B7CDD9F" w14:textId="4981D7F8" w:rsidR="00675E40" w:rsidRPr="00675E40" w:rsidRDefault="00675E40" w:rsidP="00675E40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675E40">
        <w:rPr>
          <w:rFonts w:ascii="Times New Roman" w:hAnsi="Times New Roman" w:cs="Times New Roman"/>
        </w:rPr>
        <w:t xml:space="preserve">Data completeness: High-income regions provide routine surveillance; </w:t>
      </w:r>
      <w:r w:rsidR="00C11465">
        <w:rPr>
          <w:rFonts w:ascii="Times New Roman" w:hAnsi="Times New Roman" w:cs="Times New Roman"/>
        </w:rPr>
        <w:t>significant</w:t>
      </w:r>
      <w:r w:rsidRPr="00675E40">
        <w:rPr>
          <w:rFonts w:ascii="Times New Roman" w:hAnsi="Times New Roman" w:cs="Times New Roman"/>
        </w:rPr>
        <w:t xml:space="preserve"> gaps persist in Sub-Saharan Africa, parts of Asia</w:t>
      </w:r>
      <w:r w:rsidR="00C11465">
        <w:rPr>
          <w:rFonts w:ascii="Times New Roman" w:hAnsi="Times New Roman" w:cs="Times New Roman"/>
        </w:rPr>
        <w:t>,</w:t>
      </w:r>
      <w:r w:rsidRPr="00675E40">
        <w:rPr>
          <w:rFonts w:ascii="Times New Roman" w:hAnsi="Times New Roman" w:cs="Times New Roman"/>
        </w:rPr>
        <w:t xml:space="preserve"> and Pacific Island nations.</w:t>
      </w:r>
    </w:p>
    <w:p w14:paraId="304F1540" w14:textId="77777777" w:rsidR="00675E40" w:rsidRPr="00675E40" w:rsidRDefault="00675E40" w:rsidP="00675E40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675E40">
        <w:rPr>
          <w:rFonts w:ascii="Times New Roman" w:hAnsi="Times New Roman" w:cs="Times New Roman"/>
        </w:rPr>
        <w:t>Procedure access beyond 12 weeks: D&amp;E is routine in North America and Latin America, whereas many European systems extend MA protocols to 15-16 weeks.</w:t>
      </w:r>
    </w:p>
    <w:p w14:paraId="6B09EA8B" w14:textId="6030F40B" w:rsidR="00675E40" w:rsidRPr="00675E40" w:rsidRDefault="00675E40" w:rsidP="00675E40">
      <w:pPr>
        <w:rPr>
          <w:rFonts w:ascii="Times New Roman" w:hAnsi="Times New Roman" w:cs="Times New Roman"/>
        </w:rPr>
      </w:pPr>
      <w:r w:rsidRPr="00675E40">
        <w:rPr>
          <w:rFonts w:ascii="Times New Roman" w:hAnsi="Times New Roman" w:cs="Times New Roman"/>
        </w:rPr>
        <w:t xml:space="preserve">Recent peer-reviewed evidence depicts a world in which induced abortion is both common and increasingly managed with medication, frequently via </w:t>
      </w:r>
      <w:r w:rsidR="00E833B9">
        <w:rPr>
          <w:rFonts w:ascii="Times New Roman" w:hAnsi="Times New Roman" w:cs="Times New Roman"/>
        </w:rPr>
        <w:t>telehealth</w:t>
      </w:r>
      <w:r w:rsidRPr="00675E40">
        <w:rPr>
          <w:rFonts w:ascii="Times New Roman" w:hAnsi="Times New Roman" w:cs="Times New Roman"/>
        </w:rPr>
        <w:t>. While incidence differentials remain pronounced</w:t>
      </w:r>
      <w:r w:rsidR="00C11465">
        <w:rPr>
          <w:rFonts w:ascii="Times New Roman" w:hAnsi="Times New Roman" w:cs="Times New Roman"/>
        </w:rPr>
        <w:t xml:space="preserve">, </w:t>
      </w:r>
      <w:r w:rsidRPr="00675E40">
        <w:rPr>
          <w:rFonts w:ascii="Times New Roman" w:hAnsi="Times New Roman" w:cs="Times New Roman"/>
        </w:rPr>
        <w:t>lowest in Europe, highest in Africa and Latin America</w:t>
      </w:r>
      <w:r w:rsidR="00E833B9">
        <w:rPr>
          <w:rFonts w:ascii="Times New Roman" w:hAnsi="Times New Roman" w:cs="Times New Roman"/>
        </w:rPr>
        <w:t xml:space="preserve">, </w:t>
      </w:r>
      <w:r w:rsidRPr="00675E40">
        <w:rPr>
          <w:rFonts w:ascii="Times New Roman" w:hAnsi="Times New Roman" w:cs="Times New Roman"/>
        </w:rPr>
        <w:t xml:space="preserve">the demographic </w:t>
      </w:r>
      <w:r w:rsidRPr="00675E40">
        <w:rPr>
          <w:rFonts w:ascii="Times New Roman" w:hAnsi="Times New Roman" w:cs="Times New Roman"/>
        </w:rPr>
        <w:lastRenderedPageBreak/>
        <w:t xml:space="preserve">profile of abortion seekers is strikingly similar: predominantly women in their twenties, many already mothers. Robust surveillance in under-studied regions, especially the Pacific and parts of Africa, is crucial for monitoring emerging trends such as second-trimester MA and cross-border </w:t>
      </w:r>
      <w:r w:rsidR="00E833B9">
        <w:rPr>
          <w:rFonts w:ascii="Times New Roman" w:hAnsi="Times New Roman" w:cs="Times New Roman"/>
        </w:rPr>
        <w:t>telemedicine</w:t>
      </w:r>
      <w:r w:rsidRPr="00675E40">
        <w:rPr>
          <w:rFonts w:ascii="Times New Roman" w:hAnsi="Times New Roman" w:cs="Times New Roman"/>
        </w:rPr>
        <w:t>.</w:t>
      </w:r>
    </w:p>
    <w:p w14:paraId="6E3DC527" w14:textId="77777777" w:rsidR="00675E40" w:rsidRPr="00675E40" w:rsidRDefault="00675E40" w:rsidP="00675E40">
      <w:pPr>
        <w:rPr>
          <w:rFonts w:ascii="Times New Roman" w:hAnsi="Times New Roman" w:cs="Times New Roman"/>
        </w:rPr>
      </w:pPr>
      <w:r w:rsidRPr="00675E40">
        <w:rPr>
          <w:rFonts w:ascii="Times New Roman" w:hAnsi="Times New Roman" w:cs="Times New Roman"/>
        </w:rPr>
        <w:t>References</w:t>
      </w:r>
    </w:p>
    <w:p w14:paraId="18CBF763" w14:textId="0FF911E1" w:rsidR="00187282" w:rsidRPr="001D459A" w:rsidRDefault="00187282" w:rsidP="00675E40">
      <w:pPr>
        <w:rPr>
          <w:rFonts w:ascii="Times New Roman" w:hAnsi="Times New Roman" w:cs="Times New Roman"/>
        </w:rPr>
      </w:pPr>
      <w:proofErr w:type="spellStart"/>
      <w:r w:rsidRPr="001D459A">
        <w:rPr>
          <w:rFonts w:ascii="Times New Roman" w:hAnsi="Times New Roman" w:cs="Times New Roman"/>
        </w:rPr>
        <w:t>Bearak</w:t>
      </w:r>
      <w:proofErr w:type="spellEnd"/>
      <w:r w:rsidRPr="001D459A">
        <w:rPr>
          <w:rFonts w:ascii="Times New Roman" w:hAnsi="Times New Roman" w:cs="Times New Roman"/>
        </w:rPr>
        <w:t xml:space="preserve">, J. M., </w:t>
      </w:r>
      <w:proofErr w:type="spellStart"/>
      <w:r w:rsidRPr="001D459A">
        <w:rPr>
          <w:rFonts w:ascii="Times New Roman" w:hAnsi="Times New Roman" w:cs="Times New Roman"/>
        </w:rPr>
        <w:t>Popinchalk</w:t>
      </w:r>
      <w:proofErr w:type="spellEnd"/>
      <w:r w:rsidRPr="001D459A">
        <w:rPr>
          <w:rFonts w:ascii="Times New Roman" w:hAnsi="Times New Roman" w:cs="Times New Roman"/>
        </w:rPr>
        <w:t xml:space="preserve">, A., Beavin, C., Ganatra, B., Moller, A. B., </w:t>
      </w:r>
      <w:proofErr w:type="spellStart"/>
      <w:r w:rsidRPr="001D459A">
        <w:rPr>
          <w:rFonts w:ascii="Times New Roman" w:hAnsi="Times New Roman" w:cs="Times New Roman"/>
        </w:rPr>
        <w:t>Tunçalp</w:t>
      </w:r>
      <w:proofErr w:type="spellEnd"/>
      <w:r w:rsidRPr="001D459A">
        <w:rPr>
          <w:rFonts w:ascii="Times New Roman" w:hAnsi="Times New Roman" w:cs="Times New Roman"/>
        </w:rPr>
        <w:t xml:space="preserve">, Ö., &amp; Alkema, L. (2022). Country-specific estimates of unintended pregnancy and abortion incidence: a global comparative analysis of levels in 2015-2019. BMJ </w:t>
      </w:r>
      <w:r w:rsidR="00C11465">
        <w:rPr>
          <w:rFonts w:ascii="Times New Roman" w:hAnsi="Times New Roman" w:cs="Times New Roman"/>
        </w:rPr>
        <w:t>G</w:t>
      </w:r>
      <w:r w:rsidRPr="001D459A">
        <w:rPr>
          <w:rFonts w:ascii="Times New Roman" w:hAnsi="Times New Roman" w:cs="Times New Roman"/>
        </w:rPr>
        <w:t xml:space="preserve">lobal </w:t>
      </w:r>
      <w:r w:rsidR="00C11465">
        <w:rPr>
          <w:rFonts w:ascii="Times New Roman" w:hAnsi="Times New Roman" w:cs="Times New Roman"/>
        </w:rPr>
        <w:t>H</w:t>
      </w:r>
      <w:r w:rsidRPr="001D459A">
        <w:rPr>
          <w:rFonts w:ascii="Times New Roman" w:hAnsi="Times New Roman" w:cs="Times New Roman"/>
        </w:rPr>
        <w:t>ealth, 7(3), e007151. https://doi.org/10.1136/bmjgh-2021-007151</w:t>
      </w:r>
    </w:p>
    <w:p w14:paraId="336D2878" w14:textId="0B1F95DE" w:rsidR="00187282" w:rsidRPr="001D459A" w:rsidRDefault="00675E40" w:rsidP="00675E40">
      <w:pPr>
        <w:rPr>
          <w:rFonts w:ascii="Times New Roman" w:hAnsi="Times New Roman" w:cs="Times New Roman"/>
          <w:lang w:val="es-ES"/>
        </w:rPr>
      </w:pPr>
      <w:proofErr w:type="spellStart"/>
      <w:r w:rsidRPr="001D459A">
        <w:rPr>
          <w:rFonts w:ascii="Times New Roman" w:hAnsi="Times New Roman" w:cs="Times New Roman"/>
        </w:rPr>
        <w:t>Be</w:t>
      </w:r>
      <w:r w:rsidR="00187282" w:rsidRPr="001D459A">
        <w:rPr>
          <w:rFonts w:ascii="Times New Roman" w:hAnsi="Times New Roman" w:cs="Times New Roman"/>
        </w:rPr>
        <w:t>Bell</w:t>
      </w:r>
      <w:proofErr w:type="spellEnd"/>
      <w:r w:rsidR="00187282" w:rsidRPr="001D459A">
        <w:rPr>
          <w:rFonts w:ascii="Times New Roman" w:hAnsi="Times New Roman" w:cs="Times New Roman"/>
        </w:rPr>
        <w:t xml:space="preserve">, S. O., Oumarou, S., Larson, E. A., </w:t>
      </w:r>
      <w:proofErr w:type="spellStart"/>
      <w:r w:rsidR="00187282" w:rsidRPr="001D459A">
        <w:rPr>
          <w:rFonts w:ascii="Times New Roman" w:hAnsi="Times New Roman" w:cs="Times New Roman"/>
        </w:rPr>
        <w:t>Alzouma</w:t>
      </w:r>
      <w:proofErr w:type="spellEnd"/>
      <w:r w:rsidR="00187282" w:rsidRPr="001D459A">
        <w:rPr>
          <w:rFonts w:ascii="Times New Roman" w:hAnsi="Times New Roman" w:cs="Times New Roman"/>
        </w:rPr>
        <w:t>, S., &amp; Moreau, C. (2023). Abortion incidence and safety in Niger in 2021: Findings from a nationally representative cross-sectional survey of reproductive-aged women using direct and indirect measurement approaches. </w:t>
      </w:r>
      <w:r w:rsidR="00187282" w:rsidRPr="001D459A">
        <w:rPr>
          <w:rFonts w:ascii="Times New Roman" w:hAnsi="Times New Roman" w:cs="Times New Roman"/>
          <w:lang w:val="es-ES"/>
        </w:rPr>
        <w:t xml:space="preserve">PLOS </w:t>
      </w:r>
      <w:r w:rsidR="00C11465">
        <w:rPr>
          <w:rFonts w:ascii="Times New Roman" w:hAnsi="Times New Roman" w:cs="Times New Roman"/>
          <w:lang w:val="es-ES"/>
        </w:rPr>
        <w:t>G</w:t>
      </w:r>
      <w:r w:rsidR="00187282" w:rsidRPr="001D459A">
        <w:rPr>
          <w:rFonts w:ascii="Times New Roman" w:hAnsi="Times New Roman" w:cs="Times New Roman"/>
          <w:lang w:val="es-ES"/>
        </w:rPr>
        <w:t xml:space="preserve">lobal </w:t>
      </w:r>
      <w:proofErr w:type="spellStart"/>
      <w:r w:rsidR="00C11465">
        <w:rPr>
          <w:rFonts w:ascii="Times New Roman" w:hAnsi="Times New Roman" w:cs="Times New Roman"/>
          <w:lang w:val="es-ES"/>
        </w:rPr>
        <w:t>P</w:t>
      </w:r>
      <w:r w:rsidR="00187282" w:rsidRPr="001D459A">
        <w:rPr>
          <w:rFonts w:ascii="Times New Roman" w:hAnsi="Times New Roman" w:cs="Times New Roman"/>
          <w:lang w:val="es-ES"/>
        </w:rPr>
        <w:t>ublic</w:t>
      </w:r>
      <w:proofErr w:type="spellEnd"/>
      <w:r w:rsidR="00187282" w:rsidRPr="001D459A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C11465">
        <w:rPr>
          <w:rFonts w:ascii="Times New Roman" w:hAnsi="Times New Roman" w:cs="Times New Roman"/>
          <w:lang w:val="es-ES"/>
        </w:rPr>
        <w:t>H</w:t>
      </w:r>
      <w:r w:rsidR="00187282" w:rsidRPr="001D459A">
        <w:rPr>
          <w:rFonts w:ascii="Times New Roman" w:hAnsi="Times New Roman" w:cs="Times New Roman"/>
          <w:lang w:val="es-ES"/>
        </w:rPr>
        <w:t>ealth</w:t>
      </w:r>
      <w:proofErr w:type="spellEnd"/>
      <w:r w:rsidR="00187282" w:rsidRPr="001D459A">
        <w:rPr>
          <w:rFonts w:ascii="Times New Roman" w:hAnsi="Times New Roman" w:cs="Times New Roman"/>
          <w:lang w:val="es-ES"/>
        </w:rPr>
        <w:t>, 3(10), e0002353. https://doi.org/10.1371/journal.pgph.0002353</w:t>
      </w:r>
    </w:p>
    <w:p w14:paraId="26D236D0" w14:textId="2E3A8964" w:rsidR="00187282" w:rsidRPr="001D459A" w:rsidRDefault="00187282" w:rsidP="00675E40">
      <w:pPr>
        <w:rPr>
          <w:rFonts w:ascii="Times New Roman" w:hAnsi="Times New Roman" w:cs="Times New Roman"/>
        </w:rPr>
      </w:pPr>
      <w:r w:rsidRPr="001D459A">
        <w:rPr>
          <w:rFonts w:ascii="Times New Roman" w:hAnsi="Times New Roman" w:cs="Times New Roman"/>
          <w:lang w:val="es-ES"/>
        </w:rPr>
        <w:t xml:space="preserve">Cely-Andrade, L., Enríquez-Santander, L. C., Cárdenas-Garzón, K., Saavedra-Avendaño, B., &amp; Ortiz Avendaño, G. A. (2024). </w:t>
      </w:r>
      <w:r w:rsidRPr="001D459A">
        <w:rPr>
          <w:rFonts w:ascii="Times New Roman" w:hAnsi="Times New Roman" w:cs="Times New Roman"/>
        </w:rPr>
        <w:t xml:space="preserve">First-trimester medication abortion via telemedicine: A retrospective cohort study. Public </w:t>
      </w:r>
      <w:r w:rsidR="00C11465">
        <w:rPr>
          <w:rFonts w:ascii="Times New Roman" w:hAnsi="Times New Roman" w:cs="Times New Roman"/>
        </w:rPr>
        <w:t>H</w:t>
      </w:r>
      <w:r w:rsidRPr="001D459A">
        <w:rPr>
          <w:rFonts w:ascii="Times New Roman" w:hAnsi="Times New Roman" w:cs="Times New Roman"/>
        </w:rPr>
        <w:t xml:space="preserve">ealth in </w:t>
      </w:r>
      <w:r w:rsidR="00C11465">
        <w:rPr>
          <w:rFonts w:ascii="Times New Roman" w:hAnsi="Times New Roman" w:cs="Times New Roman"/>
        </w:rPr>
        <w:t>P</w:t>
      </w:r>
      <w:r w:rsidRPr="001D459A">
        <w:rPr>
          <w:rFonts w:ascii="Times New Roman" w:hAnsi="Times New Roman" w:cs="Times New Roman"/>
        </w:rPr>
        <w:t>ractice (Oxford, England), 8, 100539. https://doi.org/10.1016/j.puhip.2024.100539</w:t>
      </w:r>
    </w:p>
    <w:p w14:paraId="16434A74" w14:textId="4F448A23" w:rsidR="00187282" w:rsidRPr="001D459A" w:rsidRDefault="00187282" w:rsidP="00675E40">
      <w:pPr>
        <w:rPr>
          <w:rFonts w:ascii="Times New Roman" w:hAnsi="Times New Roman" w:cs="Times New Roman"/>
        </w:rPr>
      </w:pPr>
      <w:r w:rsidRPr="001D459A">
        <w:rPr>
          <w:rFonts w:ascii="Times New Roman" w:hAnsi="Times New Roman" w:cs="Times New Roman"/>
          <w:lang w:val="fr-FR"/>
        </w:rPr>
        <w:t xml:space="preserve">Eckstein, S.M., von Felten, S., </w:t>
      </w:r>
      <w:proofErr w:type="spellStart"/>
      <w:r w:rsidRPr="001D459A">
        <w:rPr>
          <w:rFonts w:ascii="Times New Roman" w:hAnsi="Times New Roman" w:cs="Times New Roman"/>
          <w:lang w:val="fr-FR"/>
        </w:rPr>
        <w:t>Perotto</w:t>
      </w:r>
      <w:proofErr w:type="spellEnd"/>
      <w:r w:rsidRPr="001D459A">
        <w:rPr>
          <w:rFonts w:ascii="Times New Roman" w:hAnsi="Times New Roman" w:cs="Times New Roman"/>
          <w:lang w:val="fr-FR"/>
        </w:rPr>
        <w:t>, L. et al. </w:t>
      </w:r>
      <w:r w:rsidRPr="001D459A">
        <w:rPr>
          <w:rFonts w:ascii="Times New Roman" w:hAnsi="Times New Roman" w:cs="Times New Roman"/>
        </w:rPr>
        <w:t>(2023). First-trimester abortion protocols by facility type in Switzerland and potential barriers to accessing the service. Sci Rep 13, 6814 (2023). https://doi.org/10.1038/s41598-023-34101-2</w:t>
      </w:r>
    </w:p>
    <w:p w14:paraId="1D59AFC6" w14:textId="025E02E0" w:rsidR="00507F36" w:rsidRPr="001D459A" w:rsidRDefault="001D459A" w:rsidP="00675E40">
      <w:pPr>
        <w:rPr>
          <w:rFonts w:ascii="Times New Roman" w:hAnsi="Times New Roman" w:cs="Times New Roman"/>
        </w:rPr>
      </w:pPr>
      <w:r w:rsidRPr="001D459A">
        <w:rPr>
          <w:rFonts w:ascii="Times New Roman" w:hAnsi="Times New Roman" w:cs="Times New Roman"/>
        </w:rPr>
        <w:t xml:space="preserve">Edvardsson, K., Egan, N., Taft, A., Norman, W. V., Harris, M. L., Black, K. I., Bateson, D., Hooker, L., &amp; Shankar, M. (2025). Time trends and characteristics associated with </w:t>
      </w:r>
      <w:r w:rsidR="00C11465">
        <w:rPr>
          <w:rFonts w:ascii="Times New Roman" w:hAnsi="Times New Roman" w:cs="Times New Roman"/>
        </w:rPr>
        <w:t xml:space="preserve">the </w:t>
      </w:r>
      <w:r w:rsidRPr="001D459A">
        <w:rPr>
          <w:rFonts w:ascii="Times New Roman" w:hAnsi="Times New Roman" w:cs="Times New Roman"/>
        </w:rPr>
        <w:t xml:space="preserve">abortion method used by young Australian women. International Journal of Epidemiology, 54(2), dyaf028. </w:t>
      </w:r>
      <w:hyperlink r:id="rId7" w:history="1">
        <w:r w:rsidR="00507F36" w:rsidRPr="001A293C">
          <w:rPr>
            <w:rStyle w:val="Hyperlink"/>
            <w:rFonts w:ascii="Times New Roman" w:hAnsi="Times New Roman" w:cs="Times New Roman"/>
          </w:rPr>
          <w:t>https://doi.org/10.1093/ije/dyaf028</w:t>
        </w:r>
      </w:hyperlink>
    </w:p>
    <w:p w14:paraId="7CB29307" w14:textId="6D407591" w:rsidR="001D459A" w:rsidRPr="001D459A" w:rsidRDefault="001D459A" w:rsidP="00675E40">
      <w:pPr>
        <w:rPr>
          <w:rFonts w:ascii="Times New Roman" w:hAnsi="Times New Roman" w:cs="Times New Roman"/>
        </w:rPr>
      </w:pPr>
      <w:r w:rsidRPr="001D459A">
        <w:rPr>
          <w:rFonts w:ascii="Times New Roman" w:hAnsi="Times New Roman" w:cs="Times New Roman"/>
        </w:rPr>
        <w:t xml:space="preserve">Kassa, R. N., Kaburu, E. W., Andrew-Bassey, U., Abdiwali, S. A., </w:t>
      </w:r>
      <w:proofErr w:type="spellStart"/>
      <w:r w:rsidRPr="001D459A">
        <w:rPr>
          <w:rFonts w:ascii="Times New Roman" w:hAnsi="Times New Roman" w:cs="Times New Roman"/>
        </w:rPr>
        <w:t>Nahayo</w:t>
      </w:r>
      <w:proofErr w:type="spellEnd"/>
      <w:r w:rsidRPr="001D459A">
        <w:rPr>
          <w:rFonts w:ascii="Times New Roman" w:hAnsi="Times New Roman" w:cs="Times New Roman"/>
        </w:rPr>
        <w:t xml:space="preserve">, B., Samuel, N., &amp; Akinyemi, J. O. (2024). Factors associated with pregnancy termination in six sub-Saharan African countries. PLOS </w:t>
      </w:r>
      <w:r w:rsidR="00C11465">
        <w:rPr>
          <w:rFonts w:ascii="Times New Roman" w:hAnsi="Times New Roman" w:cs="Times New Roman"/>
        </w:rPr>
        <w:t>G</w:t>
      </w:r>
      <w:r w:rsidRPr="001D459A">
        <w:rPr>
          <w:rFonts w:ascii="Times New Roman" w:hAnsi="Times New Roman" w:cs="Times New Roman"/>
        </w:rPr>
        <w:t xml:space="preserve">lobal </w:t>
      </w:r>
      <w:r w:rsidR="00C11465">
        <w:rPr>
          <w:rFonts w:ascii="Times New Roman" w:hAnsi="Times New Roman" w:cs="Times New Roman"/>
        </w:rPr>
        <w:t>P</w:t>
      </w:r>
      <w:r w:rsidRPr="001D459A">
        <w:rPr>
          <w:rFonts w:ascii="Times New Roman" w:hAnsi="Times New Roman" w:cs="Times New Roman"/>
        </w:rPr>
        <w:t xml:space="preserve">ublic </w:t>
      </w:r>
      <w:r w:rsidR="00C11465">
        <w:rPr>
          <w:rFonts w:ascii="Times New Roman" w:hAnsi="Times New Roman" w:cs="Times New Roman"/>
        </w:rPr>
        <w:t>H</w:t>
      </w:r>
      <w:r w:rsidRPr="001D459A">
        <w:rPr>
          <w:rFonts w:ascii="Times New Roman" w:hAnsi="Times New Roman" w:cs="Times New Roman"/>
        </w:rPr>
        <w:t>ealth, 4(5), e0002280. https://doi.org/10.1371/journal.pgph.0002280</w:t>
      </w:r>
    </w:p>
    <w:p w14:paraId="1084681C" w14:textId="78877FAF" w:rsidR="00AA0B90" w:rsidRPr="00C11465" w:rsidRDefault="00AA0B90" w:rsidP="00675E40">
      <w:pPr>
        <w:rPr>
          <w:rFonts w:ascii="Times New Roman" w:hAnsi="Times New Roman" w:cs="Times New Roman"/>
        </w:rPr>
      </w:pPr>
      <w:r w:rsidRPr="00AA0B90">
        <w:rPr>
          <w:rFonts w:ascii="Times New Roman" w:hAnsi="Times New Roman" w:cs="Times New Roman"/>
        </w:rPr>
        <w:t>Lewandowska, M., Carter, D. J., Gasparrini, A., Lohr, P. A., &amp; Wellings, K. (2024). Impact of approval of home use of misoprostol in England on access to medical abortion: An interrupted time series analysis. </w:t>
      </w:r>
      <w:r w:rsidRPr="00C11465">
        <w:rPr>
          <w:rFonts w:ascii="Times New Roman" w:hAnsi="Times New Roman" w:cs="Times New Roman"/>
        </w:rPr>
        <w:t xml:space="preserve">International </w:t>
      </w:r>
      <w:r w:rsidR="00C11465">
        <w:rPr>
          <w:rFonts w:ascii="Times New Roman" w:hAnsi="Times New Roman" w:cs="Times New Roman"/>
        </w:rPr>
        <w:t>J</w:t>
      </w:r>
      <w:r w:rsidRPr="00C11465">
        <w:rPr>
          <w:rFonts w:ascii="Times New Roman" w:hAnsi="Times New Roman" w:cs="Times New Roman"/>
        </w:rPr>
        <w:t xml:space="preserve">ournal of </w:t>
      </w:r>
      <w:proofErr w:type="spellStart"/>
      <w:r w:rsidR="00C11465">
        <w:rPr>
          <w:rFonts w:ascii="Times New Roman" w:hAnsi="Times New Roman" w:cs="Times New Roman"/>
        </w:rPr>
        <w:t>G</w:t>
      </w:r>
      <w:r w:rsidRPr="00C11465">
        <w:rPr>
          <w:rFonts w:ascii="Times New Roman" w:hAnsi="Times New Roman" w:cs="Times New Roman"/>
        </w:rPr>
        <w:t>ynaecology</w:t>
      </w:r>
      <w:proofErr w:type="spellEnd"/>
      <w:r w:rsidRPr="00C11465">
        <w:rPr>
          <w:rFonts w:ascii="Times New Roman" w:hAnsi="Times New Roman" w:cs="Times New Roman"/>
        </w:rPr>
        <w:t xml:space="preserve"> and </w:t>
      </w:r>
      <w:r w:rsidR="00C11465">
        <w:rPr>
          <w:rFonts w:ascii="Times New Roman" w:hAnsi="Times New Roman" w:cs="Times New Roman"/>
        </w:rPr>
        <w:t>O</w:t>
      </w:r>
      <w:r w:rsidRPr="00C11465">
        <w:rPr>
          <w:rFonts w:ascii="Times New Roman" w:hAnsi="Times New Roman" w:cs="Times New Roman"/>
        </w:rPr>
        <w:t xml:space="preserve">bstetrics: the official organ of the International Federation of </w:t>
      </w:r>
      <w:proofErr w:type="spellStart"/>
      <w:r w:rsidRPr="00C11465">
        <w:rPr>
          <w:rFonts w:ascii="Times New Roman" w:hAnsi="Times New Roman" w:cs="Times New Roman"/>
        </w:rPr>
        <w:t>Gynaecology</w:t>
      </w:r>
      <w:proofErr w:type="spellEnd"/>
      <w:r w:rsidRPr="00C11465">
        <w:rPr>
          <w:rFonts w:ascii="Times New Roman" w:hAnsi="Times New Roman" w:cs="Times New Roman"/>
        </w:rPr>
        <w:t xml:space="preserve"> and Obstetrics</w:t>
      </w:r>
      <w:r w:rsidRPr="00AA0B90">
        <w:rPr>
          <w:rFonts w:ascii="Times New Roman" w:hAnsi="Times New Roman" w:cs="Times New Roman"/>
        </w:rPr>
        <w:t>, </w:t>
      </w:r>
      <w:r w:rsidRPr="00AA0B90">
        <w:rPr>
          <w:rFonts w:ascii="Times New Roman" w:hAnsi="Times New Roman" w:cs="Times New Roman"/>
          <w:i/>
          <w:iCs/>
        </w:rPr>
        <w:t>164</w:t>
      </w:r>
      <w:r w:rsidRPr="00AA0B90">
        <w:rPr>
          <w:rFonts w:ascii="Times New Roman" w:hAnsi="Times New Roman" w:cs="Times New Roman"/>
        </w:rPr>
        <w:t xml:space="preserve">(1), 286–297. </w:t>
      </w:r>
      <w:hyperlink r:id="rId8" w:history="1">
        <w:r w:rsidR="00507F36" w:rsidRPr="00C11465">
          <w:rPr>
            <w:rStyle w:val="Hyperlink"/>
            <w:rFonts w:ascii="Times New Roman" w:hAnsi="Times New Roman" w:cs="Times New Roman"/>
          </w:rPr>
          <w:t>https://doi.org/10.1002/ijgo.15044</w:t>
        </w:r>
      </w:hyperlink>
    </w:p>
    <w:p w14:paraId="43BBB4FE" w14:textId="35F21C75" w:rsidR="00507F36" w:rsidRDefault="00507F36" w:rsidP="00675E40">
      <w:pPr>
        <w:rPr>
          <w:rFonts w:ascii="Times New Roman" w:hAnsi="Times New Roman" w:cs="Times New Roman"/>
        </w:rPr>
      </w:pPr>
      <w:r w:rsidRPr="00507F36">
        <w:rPr>
          <w:rFonts w:ascii="Times New Roman" w:hAnsi="Times New Roman" w:cs="Times New Roman"/>
          <w:lang w:val="fr-FR"/>
        </w:rPr>
        <w:t xml:space="preserve">Parsons, J. A., &amp; Romanis, E. C. (2021). </w:t>
      </w:r>
      <w:r w:rsidRPr="00507F36">
        <w:rPr>
          <w:rFonts w:ascii="Times New Roman" w:hAnsi="Times New Roman" w:cs="Times New Roman"/>
        </w:rPr>
        <w:t xml:space="preserve">2020 </w:t>
      </w:r>
      <w:proofErr w:type="gramStart"/>
      <w:r w:rsidRPr="00507F36">
        <w:rPr>
          <w:rFonts w:ascii="Times New Roman" w:hAnsi="Times New Roman" w:cs="Times New Roman"/>
        </w:rPr>
        <w:t>developments</w:t>
      </w:r>
      <w:proofErr w:type="gramEnd"/>
      <w:r w:rsidRPr="00507F36">
        <w:rPr>
          <w:rFonts w:ascii="Times New Roman" w:hAnsi="Times New Roman" w:cs="Times New Roman"/>
        </w:rPr>
        <w:t xml:space="preserve"> in the provision of early medical abortion by telemedicine in the UK. </w:t>
      </w:r>
      <w:r w:rsidRPr="00C11465">
        <w:rPr>
          <w:rFonts w:ascii="Times New Roman" w:hAnsi="Times New Roman" w:cs="Times New Roman"/>
        </w:rPr>
        <w:t xml:space="preserve">Health </w:t>
      </w:r>
      <w:r w:rsidR="00C11465" w:rsidRPr="00C11465">
        <w:rPr>
          <w:rFonts w:ascii="Times New Roman" w:hAnsi="Times New Roman" w:cs="Times New Roman"/>
        </w:rPr>
        <w:t>P</w:t>
      </w:r>
      <w:r w:rsidRPr="00C11465">
        <w:rPr>
          <w:rFonts w:ascii="Times New Roman" w:hAnsi="Times New Roman" w:cs="Times New Roman"/>
        </w:rPr>
        <w:t>olicy (Amsterdam, Netherlands),</w:t>
      </w:r>
      <w:r w:rsidRPr="00507F36">
        <w:rPr>
          <w:rFonts w:ascii="Times New Roman" w:hAnsi="Times New Roman" w:cs="Times New Roman"/>
        </w:rPr>
        <w:t> </w:t>
      </w:r>
      <w:r w:rsidRPr="00507F36">
        <w:rPr>
          <w:rFonts w:ascii="Times New Roman" w:hAnsi="Times New Roman" w:cs="Times New Roman"/>
          <w:i/>
          <w:iCs/>
        </w:rPr>
        <w:t>125</w:t>
      </w:r>
      <w:r w:rsidRPr="00507F36">
        <w:rPr>
          <w:rFonts w:ascii="Times New Roman" w:hAnsi="Times New Roman" w:cs="Times New Roman"/>
        </w:rPr>
        <w:t>(1), 17–21. https://doi.org/10.1016/j.healthpol.2020.11.006</w:t>
      </w:r>
    </w:p>
    <w:p w14:paraId="15D78C48" w14:textId="2FA0A42B" w:rsidR="001D459A" w:rsidRPr="00C11465" w:rsidRDefault="001D459A" w:rsidP="00675E40">
      <w:pPr>
        <w:rPr>
          <w:rFonts w:ascii="Times New Roman" w:hAnsi="Times New Roman" w:cs="Times New Roman"/>
        </w:rPr>
      </w:pPr>
      <w:r w:rsidRPr="001D459A">
        <w:rPr>
          <w:rFonts w:ascii="Times New Roman" w:hAnsi="Times New Roman" w:cs="Times New Roman"/>
        </w:rPr>
        <w:lastRenderedPageBreak/>
        <w:t>Ramer, S., Nguyen, A. T., Hollier, L. M., Rodenhizer, J., Warner, L., &amp; Whiteman, M. K. (2024). Abortion Surveillance - United States, 2022. </w:t>
      </w:r>
      <w:r w:rsidRPr="00C11465">
        <w:rPr>
          <w:rFonts w:ascii="Times New Roman" w:hAnsi="Times New Roman" w:cs="Times New Roman"/>
        </w:rPr>
        <w:t xml:space="preserve">Morbidity and mortality weekly report. Surveillance </w:t>
      </w:r>
      <w:r w:rsidR="00C11465">
        <w:rPr>
          <w:rFonts w:ascii="Times New Roman" w:hAnsi="Times New Roman" w:cs="Times New Roman"/>
        </w:rPr>
        <w:t>S</w:t>
      </w:r>
      <w:r w:rsidRPr="00C11465">
        <w:rPr>
          <w:rFonts w:ascii="Times New Roman" w:hAnsi="Times New Roman" w:cs="Times New Roman"/>
        </w:rPr>
        <w:t>ummaries (Washington, D.C.: 2002), 73(7), 1–28. https://doi.org/10.15585/mmwr.ss7307a1</w:t>
      </w:r>
    </w:p>
    <w:p w14:paraId="72E09277" w14:textId="15BBC731" w:rsidR="00AA0B90" w:rsidRPr="00C11465" w:rsidRDefault="001D459A" w:rsidP="00675E40">
      <w:pPr>
        <w:rPr>
          <w:rFonts w:ascii="Times New Roman" w:hAnsi="Times New Roman" w:cs="Times New Roman"/>
        </w:rPr>
      </w:pPr>
      <w:proofErr w:type="spellStart"/>
      <w:r w:rsidRPr="00C11465">
        <w:rPr>
          <w:rFonts w:ascii="Times New Roman" w:hAnsi="Times New Roman" w:cs="Times New Roman"/>
        </w:rPr>
        <w:t>Sathar</w:t>
      </w:r>
      <w:proofErr w:type="spellEnd"/>
      <w:r w:rsidRPr="00C11465">
        <w:rPr>
          <w:rFonts w:ascii="Times New Roman" w:hAnsi="Times New Roman" w:cs="Times New Roman"/>
        </w:rPr>
        <w:t xml:space="preserve">, Z., Singh, S., Shah, I. H., Niazi, M. R., Parveen, T., Mulhern, O., &amp; Mir, A. M. (2025). Abortion and unintended pregnancy in Pakistan: new evidence for 2023 and trends over the past decade. BMJ </w:t>
      </w:r>
      <w:r w:rsidR="00C11465">
        <w:rPr>
          <w:rFonts w:ascii="Times New Roman" w:hAnsi="Times New Roman" w:cs="Times New Roman"/>
        </w:rPr>
        <w:t>G</w:t>
      </w:r>
      <w:r w:rsidRPr="00C11465">
        <w:rPr>
          <w:rFonts w:ascii="Times New Roman" w:hAnsi="Times New Roman" w:cs="Times New Roman"/>
        </w:rPr>
        <w:t xml:space="preserve">lobal </w:t>
      </w:r>
      <w:r w:rsidR="00C11465">
        <w:rPr>
          <w:rFonts w:ascii="Times New Roman" w:hAnsi="Times New Roman" w:cs="Times New Roman"/>
        </w:rPr>
        <w:t>H</w:t>
      </w:r>
      <w:r w:rsidRPr="00C11465">
        <w:rPr>
          <w:rFonts w:ascii="Times New Roman" w:hAnsi="Times New Roman" w:cs="Times New Roman"/>
        </w:rPr>
        <w:t>ealth, 10(1), e017239. https://doi.org/10.1136/bmjgh-2024-017239</w:t>
      </w:r>
    </w:p>
    <w:p w14:paraId="1A137595" w14:textId="66BFC777" w:rsidR="00AA0B90" w:rsidRPr="00C11465" w:rsidRDefault="00AA0B90" w:rsidP="00675E40">
      <w:pPr>
        <w:rPr>
          <w:rFonts w:ascii="Times New Roman" w:hAnsi="Times New Roman" w:cs="Times New Roman"/>
        </w:rPr>
      </w:pPr>
      <w:proofErr w:type="spellStart"/>
      <w:r w:rsidRPr="00C11465">
        <w:rPr>
          <w:rFonts w:ascii="Times New Roman" w:hAnsi="Times New Roman" w:cs="Times New Roman"/>
        </w:rPr>
        <w:t>Schummers</w:t>
      </w:r>
      <w:proofErr w:type="spellEnd"/>
      <w:r w:rsidRPr="00C11465">
        <w:rPr>
          <w:rFonts w:ascii="Times New Roman" w:hAnsi="Times New Roman" w:cs="Times New Roman"/>
        </w:rPr>
        <w:t xml:space="preserve">, L., Dunn, S., Cheng, L., &amp; Norman, W. V. (2025). Trends in Abortion Rates in Ontario, Canada. JAMA </w:t>
      </w:r>
      <w:r w:rsidR="00C11465">
        <w:rPr>
          <w:rFonts w:ascii="Times New Roman" w:hAnsi="Times New Roman" w:cs="Times New Roman"/>
        </w:rPr>
        <w:t>N</w:t>
      </w:r>
      <w:r w:rsidRPr="00C11465">
        <w:rPr>
          <w:rFonts w:ascii="Times New Roman" w:hAnsi="Times New Roman" w:cs="Times New Roman"/>
        </w:rPr>
        <w:t xml:space="preserve">etwork </w:t>
      </w:r>
      <w:r w:rsidR="00C11465">
        <w:rPr>
          <w:rFonts w:ascii="Times New Roman" w:hAnsi="Times New Roman" w:cs="Times New Roman"/>
        </w:rPr>
        <w:t>O</w:t>
      </w:r>
      <w:r w:rsidRPr="00C11465">
        <w:rPr>
          <w:rFonts w:ascii="Times New Roman" w:hAnsi="Times New Roman" w:cs="Times New Roman"/>
        </w:rPr>
        <w:t>pen, 8(4), e254516. https://doi.org/10.1001/jamanetworkopen.2025.4516</w:t>
      </w:r>
    </w:p>
    <w:p w14:paraId="72A172CC" w14:textId="0B78B128" w:rsidR="00AA0B90" w:rsidRPr="00C11465" w:rsidRDefault="00AA0B90" w:rsidP="00675E40">
      <w:pPr>
        <w:rPr>
          <w:rFonts w:ascii="Times New Roman" w:hAnsi="Times New Roman" w:cs="Times New Roman"/>
        </w:rPr>
      </w:pPr>
      <w:r w:rsidRPr="00C11465">
        <w:rPr>
          <w:rFonts w:ascii="Times New Roman" w:hAnsi="Times New Roman" w:cs="Times New Roman"/>
        </w:rPr>
        <w:t xml:space="preserve">Tu, P., Hu, D., Wu, S., Li, J., Jiang, X., Pei, K., &amp; Zhang, W. H. (2024). Characteristics and contraceptive practices among Chinese women seeking abortion: a </w:t>
      </w:r>
      <w:proofErr w:type="spellStart"/>
      <w:r w:rsidRPr="00C11465">
        <w:rPr>
          <w:rFonts w:ascii="Times New Roman" w:hAnsi="Times New Roman" w:cs="Times New Roman"/>
        </w:rPr>
        <w:t>multicentre</w:t>
      </w:r>
      <w:proofErr w:type="spellEnd"/>
      <w:r w:rsidRPr="00C11465">
        <w:rPr>
          <w:rFonts w:ascii="Times New Roman" w:hAnsi="Times New Roman" w:cs="Times New Roman"/>
        </w:rPr>
        <w:t xml:space="preserve">, descriptive study from 2019 to 2021. BMJ </w:t>
      </w:r>
      <w:r w:rsidR="00C11465">
        <w:rPr>
          <w:rFonts w:ascii="Times New Roman" w:hAnsi="Times New Roman" w:cs="Times New Roman"/>
        </w:rPr>
        <w:t>S</w:t>
      </w:r>
      <w:r w:rsidRPr="00C11465">
        <w:rPr>
          <w:rFonts w:ascii="Times New Roman" w:hAnsi="Times New Roman" w:cs="Times New Roman"/>
        </w:rPr>
        <w:t xml:space="preserve">exual &amp; </w:t>
      </w:r>
      <w:r w:rsidR="00C11465">
        <w:rPr>
          <w:rFonts w:ascii="Times New Roman" w:hAnsi="Times New Roman" w:cs="Times New Roman"/>
        </w:rPr>
        <w:t>R</w:t>
      </w:r>
      <w:r w:rsidRPr="00C11465">
        <w:rPr>
          <w:rFonts w:ascii="Times New Roman" w:hAnsi="Times New Roman" w:cs="Times New Roman"/>
        </w:rPr>
        <w:t xml:space="preserve">eproductive </w:t>
      </w:r>
      <w:r w:rsidR="00C11465">
        <w:rPr>
          <w:rFonts w:ascii="Times New Roman" w:hAnsi="Times New Roman" w:cs="Times New Roman"/>
        </w:rPr>
        <w:t>H</w:t>
      </w:r>
      <w:r w:rsidRPr="00C11465">
        <w:rPr>
          <w:rFonts w:ascii="Times New Roman" w:hAnsi="Times New Roman" w:cs="Times New Roman"/>
        </w:rPr>
        <w:t>ealth, 50(4), 252–261. https://doi.org/10.1136/bmjsrh-2023-202181</w:t>
      </w:r>
    </w:p>
    <w:p w14:paraId="5B7CC718" w14:textId="7279E560" w:rsidR="001D459A" w:rsidRPr="00C11465" w:rsidRDefault="001D459A" w:rsidP="00675E40">
      <w:pPr>
        <w:rPr>
          <w:rFonts w:ascii="Times New Roman" w:hAnsi="Times New Roman" w:cs="Times New Roman"/>
        </w:rPr>
      </w:pPr>
      <w:r w:rsidRPr="00C11465">
        <w:rPr>
          <w:rFonts w:ascii="Times New Roman" w:hAnsi="Times New Roman" w:cs="Times New Roman"/>
        </w:rPr>
        <w:t xml:space="preserve">Upadhyay, U. D., Koenig, L. R., Meckstroth, K., Ko, J., Valladares, E. S., &amp; Biggs, M. A. (2024). Effectiveness and safety of telehealth medication abortion in the USA. Nature </w:t>
      </w:r>
      <w:r w:rsidR="00C11465">
        <w:rPr>
          <w:rFonts w:ascii="Times New Roman" w:hAnsi="Times New Roman" w:cs="Times New Roman"/>
        </w:rPr>
        <w:t>M</w:t>
      </w:r>
      <w:r w:rsidRPr="00C11465">
        <w:rPr>
          <w:rFonts w:ascii="Times New Roman" w:hAnsi="Times New Roman" w:cs="Times New Roman"/>
        </w:rPr>
        <w:t>edicine, 30(4), 1191–1198. https://doi.org/10.1038/s41591-024-02834-w</w:t>
      </w:r>
    </w:p>
    <w:p w14:paraId="24EA45C4" w14:textId="77777777" w:rsidR="001D459A" w:rsidRPr="00C11465" w:rsidRDefault="001D459A"/>
    <w:sectPr w:rsidR="001D459A" w:rsidRPr="00C11465" w:rsidSect="00773562"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0E338" w14:textId="77777777" w:rsidR="0057397D" w:rsidRDefault="0057397D" w:rsidP="00675E40">
      <w:pPr>
        <w:spacing w:after="0" w:line="240" w:lineRule="auto"/>
      </w:pPr>
      <w:r>
        <w:separator/>
      </w:r>
    </w:p>
  </w:endnote>
  <w:endnote w:type="continuationSeparator" w:id="0">
    <w:p w14:paraId="1D66AC3C" w14:textId="77777777" w:rsidR="0057397D" w:rsidRDefault="0057397D" w:rsidP="00675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069282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742D013" w14:textId="4D704247" w:rsidR="00675E40" w:rsidRDefault="00675E4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21C4D0C" w14:textId="77777777" w:rsidR="00675E40" w:rsidRDefault="00675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A7B89" w14:textId="77777777" w:rsidR="0057397D" w:rsidRDefault="0057397D" w:rsidP="00675E40">
      <w:pPr>
        <w:spacing w:after="0" w:line="240" w:lineRule="auto"/>
      </w:pPr>
      <w:r>
        <w:separator/>
      </w:r>
    </w:p>
  </w:footnote>
  <w:footnote w:type="continuationSeparator" w:id="0">
    <w:p w14:paraId="0696B275" w14:textId="77777777" w:rsidR="0057397D" w:rsidRDefault="0057397D" w:rsidP="00675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3C96"/>
    <w:multiLevelType w:val="multilevel"/>
    <w:tmpl w:val="1952C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60859"/>
    <w:multiLevelType w:val="multilevel"/>
    <w:tmpl w:val="C44E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235EF"/>
    <w:multiLevelType w:val="multilevel"/>
    <w:tmpl w:val="A43A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21869"/>
    <w:multiLevelType w:val="multilevel"/>
    <w:tmpl w:val="4C3C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71B95"/>
    <w:multiLevelType w:val="multilevel"/>
    <w:tmpl w:val="8F064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8A72AA"/>
    <w:multiLevelType w:val="multilevel"/>
    <w:tmpl w:val="8968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A826A2"/>
    <w:multiLevelType w:val="multilevel"/>
    <w:tmpl w:val="B7DA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345DB4"/>
    <w:multiLevelType w:val="multilevel"/>
    <w:tmpl w:val="240E7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AA711D"/>
    <w:multiLevelType w:val="multilevel"/>
    <w:tmpl w:val="5F689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7829047">
    <w:abstractNumId w:val="3"/>
  </w:num>
  <w:num w:numId="2" w16cid:durableId="319161470">
    <w:abstractNumId w:val="1"/>
  </w:num>
  <w:num w:numId="3" w16cid:durableId="1549874294">
    <w:abstractNumId w:val="8"/>
  </w:num>
  <w:num w:numId="4" w16cid:durableId="270212222">
    <w:abstractNumId w:val="6"/>
  </w:num>
  <w:num w:numId="5" w16cid:durableId="1502088172">
    <w:abstractNumId w:val="5"/>
  </w:num>
  <w:num w:numId="6" w16cid:durableId="574122526">
    <w:abstractNumId w:val="2"/>
  </w:num>
  <w:num w:numId="7" w16cid:durableId="1137794132">
    <w:abstractNumId w:val="7"/>
  </w:num>
  <w:num w:numId="8" w16cid:durableId="944383685">
    <w:abstractNumId w:val="0"/>
  </w:num>
  <w:num w:numId="9" w16cid:durableId="4466584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40"/>
    <w:rsid w:val="00042753"/>
    <w:rsid w:val="00187282"/>
    <w:rsid w:val="001D459A"/>
    <w:rsid w:val="002E6144"/>
    <w:rsid w:val="00507F36"/>
    <w:rsid w:val="0052634C"/>
    <w:rsid w:val="00546D30"/>
    <w:rsid w:val="0057397D"/>
    <w:rsid w:val="0057556A"/>
    <w:rsid w:val="00581B66"/>
    <w:rsid w:val="00625BBE"/>
    <w:rsid w:val="00675E40"/>
    <w:rsid w:val="006B088B"/>
    <w:rsid w:val="00773562"/>
    <w:rsid w:val="007D46FE"/>
    <w:rsid w:val="00805FB8"/>
    <w:rsid w:val="00902CF1"/>
    <w:rsid w:val="009C347C"/>
    <w:rsid w:val="00AA0B90"/>
    <w:rsid w:val="00BA4CB5"/>
    <w:rsid w:val="00BD75AA"/>
    <w:rsid w:val="00C03EBD"/>
    <w:rsid w:val="00C11465"/>
    <w:rsid w:val="00C75ED2"/>
    <w:rsid w:val="00CB14E5"/>
    <w:rsid w:val="00E02537"/>
    <w:rsid w:val="00E62CF9"/>
    <w:rsid w:val="00E833B9"/>
    <w:rsid w:val="00F6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5CF3E2"/>
  <w15:chartTrackingRefBased/>
  <w15:docId w15:val="{E0EDF058-27C2-4FBF-92D7-B55969F4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E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E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E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E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E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E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E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E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E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E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E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E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E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5E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E4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5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E40"/>
  </w:style>
  <w:style w:type="paragraph" w:styleId="Footer">
    <w:name w:val="footer"/>
    <w:basedOn w:val="Normal"/>
    <w:link w:val="FooterChar"/>
    <w:uiPriority w:val="99"/>
    <w:unhideWhenUsed/>
    <w:rsid w:val="00675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6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8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7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8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95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0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2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7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2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34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2/ijgo.150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93/ije/dyaf0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</Pages>
  <Words>1804</Words>
  <Characters>11280</Characters>
  <Application>Microsoft Office Word</Application>
  <DocSecurity>0</DocSecurity>
  <Lines>240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Coleman</dc:creator>
  <cp:keywords/>
  <dc:description/>
  <cp:lastModifiedBy>Priscilla Coleman</cp:lastModifiedBy>
  <cp:revision>9</cp:revision>
  <dcterms:created xsi:type="dcterms:W3CDTF">2025-04-27T20:15:00Z</dcterms:created>
  <dcterms:modified xsi:type="dcterms:W3CDTF">2025-07-22T04:00:00Z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68bfe185-226e-4a1a-b701-2f80689d7068</vt:lpwstr>
  </property>
</Properties>
</file>