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B744C" w14:textId="0B8361B2" w:rsidR="00973D4A" w:rsidRPr="00126FCE" w:rsidRDefault="00E57AC0" w:rsidP="00126FCE">
      <w:pPr>
        <w:jc w:val="center"/>
        <w:rPr>
          <w:b/>
          <w:bCs/>
          <w:color w:val="000000" w:themeColor="text1"/>
        </w:rPr>
      </w:pPr>
      <w:r>
        <w:rPr>
          <w:b/>
          <w:bCs/>
          <w:color w:val="000000" w:themeColor="text1"/>
        </w:rPr>
        <w:t xml:space="preserve">Annotated </w:t>
      </w:r>
      <w:r w:rsidR="00973D4A" w:rsidRPr="00126FCE">
        <w:rPr>
          <w:b/>
          <w:bCs/>
          <w:color w:val="000000" w:themeColor="text1"/>
        </w:rPr>
        <w:t>Summaries of Newly Published Peer-Reviewed Studies on Reproductive Loss with Links to the Full Articles</w:t>
      </w:r>
    </w:p>
    <w:p w14:paraId="11F07429" w14:textId="1A20B4A8" w:rsidR="001A4818" w:rsidRDefault="002C37A3" w:rsidP="00FD0F1B">
      <w:pPr>
        <w:jc w:val="center"/>
        <w:rPr>
          <w:b/>
          <w:bCs/>
          <w:color w:val="000000" w:themeColor="text1"/>
        </w:rPr>
      </w:pPr>
      <w:r>
        <w:rPr>
          <w:b/>
          <w:bCs/>
          <w:color w:val="000000" w:themeColor="text1"/>
        </w:rPr>
        <w:t>July</w:t>
      </w:r>
      <w:r w:rsidR="00126FCE" w:rsidRPr="00126FCE">
        <w:rPr>
          <w:b/>
          <w:bCs/>
          <w:color w:val="000000" w:themeColor="text1"/>
        </w:rPr>
        <w:t xml:space="preserve"> 13 </w:t>
      </w:r>
      <w:r w:rsidR="00126FCE">
        <w:rPr>
          <w:b/>
          <w:bCs/>
          <w:color w:val="000000" w:themeColor="text1"/>
        </w:rPr>
        <w:t>-</w:t>
      </w:r>
      <w:r w:rsidR="00126FCE" w:rsidRPr="00126FCE">
        <w:rPr>
          <w:b/>
          <w:bCs/>
          <w:color w:val="000000" w:themeColor="text1"/>
        </w:rPr>
        <w:t xml:space="preserve"> Ju</w:t>
      </w:r>
      <w:r>
        <w:rPr>
          <w:b/>
          <w:bCs/>
          <w:color w:val="000000" w:themeColor="text1"/>
        </w:rPr>
        <w:t>ly</w:t>
      </w:r>
      <w:r w:rsidR="00126FCE" w:rsidRPr="00126FCE">
        <w:rPr>
          <w:b/>
          <w:bCs/>
          <w:color w:val="000000" w:themeColor="text1"/>
        </w:rPr>
        <w:t xml:space="preserve"> 17, 2026</w:t>
      </w:r>
    </w:p>
    <w:p w14:paraId="5A02D2E5" w14:textId="7DBE47D0" w:rsidR="001A4818" w:rsidRDefault="001A4818" w:rsidP="001A4818">
      <w:pPr>
        <w:jc w:val="center"/>
        <w:rPr>
          <w:b/>
          <w:bCs/>
          <w:color w:val="3A7C22" w:themeColor="accent6" w:themeShade="BF"/>
          <w:sz w:val="28"/>
          <w:szCs w:val="28"/>
        </w:rPr>
      </w:pPr>
      <w:r w:rsidRPr="006233A8">
        <w:rPr>
          <w:b/>
          <w:bCs/>
          <w:color w:val="3A7C22" w:themeColor="accent6" w:themeShade="BF"/>
          <w:sz w:val="28"/>
          <w:szCs w:val="28"/>
        </w:rPr>
        <w:t>Week Ending 07</w:t>
      </w:r>
      <w:r w:rsidR="00764E0E">
        <w:rPr>
          <w:b/>
          <w:bCs/>
          <w:color w:val="3A7C22" w:themeColor="accent6" w:themeShade="BF"/>
          <w:sz w:val="28"/>
          <w:szCs w:val="28"/>
        </w:rPr>
        <w:t>/17/</w:t>
      </w:r>
      <w:r w:rsidRPr="006233A8">
        <w:rPr>
          <w:b/>
          <w:bCs/>
          <w:color w:val="3A7C22" w:themeColor="accent6" w:themeShade="BF"/>
          <w:sz w:val="28"/>
          <w:szCs w:val="28"/>
        </w:rPr>
        <w:t>2026</w:t>
      </w:r>
    </w:p>
    <w:p w14:paraId="3B344AAE" w14:textId="77777777" w:rsidR="00FD0F1B" w:rsidRDefault="00FD0F1B" w:rsidP="00FD0F1B">
      <w:pPr>
        <w:rPr>
          <w:b/>
          <w:bCs/>
          <w:i/>
          <w:iCs/>
          <w:color w:val="3A7C22" w:themeColor="accent6" w:themeShade="BF"/>
          <w:sz w:val="28"/>
          <w:szCs w:val="28"/>
        </w:rPr>
      </w:pPr>
    </w:p>
    <w:p w14:paraId="08A43ED8" w14:textId="5B8263D1" w:rsidR="00FD0F1B" w:rsidRPr="0020108E" w:rsidRDefault="00FD0F1B" w:rsidP="00FD0F1B">
      <w:pPr>
        <w:rPr>
          <w:b/>
          <w:bCs/>
          <w:color w:val="A02B93" w:themeColor="accent5"/>
          <w:sz w:val="28"/>
          <w:szCs w:val="28"/>
        </w:rPr>
      </w:pPr>
      <w:r w:rsidRPr="0020108E">
        <w:rPr>
          <w:b/>
          <w:bCs/>
          <w:color w:val="A02B93" w:themeColor="accent5"/>
          <w:sz w:val="28"/>
          <w:szCs w:val="28"/>
        </w:rPr>
        <w:t xml:space="preserve">Article </w:t>
      </w:r>
      <w:r w:rsidR="0020108E">
        <w:rPr>
          <w:b/>
          <w:bCs/>
          <w:color w:val="A02B93" w:themeColor="accent5"/>
          <w:sz w:val="28"/>
          <w:szCs w:val="28"/>
        </w:rPr>
        <w:t xml:space="preserve">26 </w:t>
      </w:r>
      <w:r w:rsidR="008A2EDB">
        <w:rPr>
          <w:b/>
          <w:bCs/>
          <w:color w:val="A02B93" w:themeColor="accent5"/>
          <w:sz w:val="28"/>
          <w:szCs w:val="28"/>
        </w:rPr>
        <w:t>(01)</w:t>
      </w:r>
      <w:r w:rsidR="00E57AC0">
        <w:rPr>
          <w:b/>
          <w:bCs/>
          <w:color w:val="A02B93" w:themeColor="accent5"/>
          <w:sz w:val="28"/>
          <w:szCs w:val="28"/>
        </w:rPr>
        <w:t xml:space="preserve"> </w:t>
      </w:r>
    </w:p>
    <w:p w14:paraId="46C5B76B" w14:textId="70EF7CFD" w:rsidR="000D4D14" w:rsidRDefault="008A5E3B" w:rsidP="008A5E3B">
      <w:pPr>
        <w:tabs>
          <w:tab w:val="left" w:pos="1644"/>
        </w:tabs>
        <w:rPr>
          <w:b/>
          <w:bCs/>
          <w:color w:val="000000" w:themeColor="text1"/>
        </w:rPr>
      </w:pPr>
      <w:r w:rsidRPr="00394B0D">
        <w:rPr>
          <w:b/>
          <w:bCs/>
          <w:color w:val="000000" w:themeColor="text1"/>
        </w:rPr>
        <w:t>Ott, K., &amp; Peters, R. T. (2026). Methodological Contributions of Epistemic Insight in Disrupting the US Christian Abortion Imaginary.</w:t>
      </w:r>
      <w:r w:rsidRPr="00394B0D">
        <w:rPr>
          <w:b/>
          <w:bCs/>
          <w:i/>
          <w:iCs/>
          <w:color w:val="000000" w:themeColor="text1"/>
        </w:rPr>
        <w:t> Religions, 17</w:t>
      </w:r>
      <w:r w:rsidRPr="00394B0D">
        <w:rPr>
          <w:b/>
          <w:bCs/>
          <w:color w:val="000000" w:themeColor="text1"/>
        </w:rPr>
        <w:t>(6), 640. https://doi.org/10.3390/rel17060640</w:t>
      </w:r>
    </w:p>
    <w:p w14:paraId="6EC313E7" w14:textId="77777777" w:rsidR="008A5E3B" w:rsidRPr="00064DF1" w:rsidRDefault="008A5E3B" w:rsidP="008A5E3B">
      <w:pPr>
        <w:tabs>
          <w:tab w:val="left" w:pos="1644"/>
        </w:tabs>
        <w:rPr>
          <w:color w:val="000000" w:themeColor="text1"/>
        </w:rPr>
      </w:pPr>
      <w:r w:rsidRPr="00064DF1">
        <w:rPr>
          <w:color w:val="000000" w:themeColor="text1"/>
        </w:rPr>
        <w:t>The Abortion &amp; Religion study has collected over 200 personal narratives from Jewish, Christian, and Muslim women who obtained abortions in the United States amid an increasingly hostile and stigmatizing sociopolitical climate. Rooted in feminist theoretical claims about the epistemological value of situated knowledge, the study seeks to center the voices and experiences of people who have had abortions as a corrective to dominant negative attitudes toward abortion in US cultural spaces.</w:t>
      </w:r>
    </w:p>
    <w:p w14:paraId="4CDF7349" w14:textId="77777777" w:rsidR="008A5E3B" w:rsidRPr="00064DF1" w:rsidRDefault="008A5E3B" w:rsidP="008A5E3B">
      <w:pPr>
        <w:tabs>
          <w:tab w:val="left" w:pos="1644"/>
        </w:tabs>
        <w:rPr>
          <w:color w:val="000000" w:themeColor="text1"/>
        </w:rPr>
      </w:pPr>
      <w:r w:rsidRPr="00064DF1">
        <w:rPr>
          <w:color w:val="000000" w:themeColor="text1"/>
        </w:rPr>
        <w:t xml:space="preserve">In this paper, three principal investigators conduct a methodological analysis of the study design through Tone Stangland Kaufman’s five categories of reflexivity. </w:t>
      </w:r>
      <w:r>
        <w:rPr>
          <w:color w:val="000000" w:themeColor="text1"/>
        </w:rPr>
        <w:t xml:space="preserve">The authors </w:t>
      </w:r>
      <w:r w:rsidRPr="00064DF1">
        <w:rPr>
          <w:color w:val="000000" w:themeColor="text1"/>
        </w:rPr>
        <w:t xml:space="preserve">demonstrate how </w:t>
      </w:r>
      <w:r>
        <w:rPr>
          <w:color w:val="000000" w:themeColor="text1"/>
        </w:rPr>
        <w:t>their</w:t>
      </w:r>
      <w:r w:rsidRPr="00064DF1">
        <w:rPr>
          <w:color w:val="000000" w:themeColor="text1"/>
        </w:rPr>
        <w:t xml:space="preserve"> epistemic insight—as researchers who have also had abortions—is not an ancillary detail but a critical component of the epistemological foundation of the Abortion &amp; Religion study. </w:t>
      </w:r>
      <w:r>
        <w:rPr>
          <w:color w:val="000000" w:themeColor="text1"/>
        </w:rPr>
        <w:t xml:space="preserve"> </w:t>
      </w:r>
      <w:r w:rsidRPr="00064DF1">
        <w:rPr>
          <w:color w:val="000000" w:themeColor="text1"/>
        </w:rPr>
        <w:t>Because one of the study’s goals is to challenge the fictive “abortion imaginary” that shapes how people in the United States think and talk about abortion, this methodological discussion clarifies the epistemological value of centering lived experiences. In doing so, it offers a corrective to the abstract, disembodied knowledge that sustains epistemic injustice within the abortion imaginary.</w:t>
      </w:r>
    </w:p>
    <w:p w14:paraId="525B8BD6" w14:textId="77777777" w:rsidR="000D4D14" w:rsidRDefault="000D4D14" w:rsidP="000D4D14">
      <w:pPr>
        <w:rPr>
          <w:b/>
          <w:bCs/>
          <w:color w:val="A02B93" w:themeColor="accent5"/>
          <w:sz w:val="28"/>
          <w:szCs w:val="28"/>
        </w:rPr>
      </w:pPr>
    </w:p>
    <w:p w14:paraId="30C38F01" w14:textId="08D09BC6" w:rsidR="000D4D14" w:rsidRDefault="000D4D14" w:rsidP="000D4D1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2</w:t>
      </w:r>
      <w:r w:rsidR="008A5E3B">
        <w:rPr>
          <w:b/>
          <w:bCs/>
          <w:color w:val="A02B93" w:themeColor="accent5"/>
          <w:sz w:val="28"/>
          <w:szCs w:val="28"/>
        </w:rPr>
        <w:t>7</w:t>
      </w:r>
      <w:r w:rsidR="008A2EDB">
        <w:rPr>
          <w:b/>
          <w:bCs/>
          <w:color w:val="A02B93" w:themeColor="accent5"/>
          <w:sz w:val="28"/>
          <w:szCs w:val="28"/>
        </w:rPr>
        <w:t xml:space="preserve"> (02)</w:t>
      </w:r>
    </w:p>
    <w:p w14:paraId="342ABCDB" w14:textId="77777777" w:rsidR="008A5E3B" w:rsidRDefault="008A5E3B" w:rsidP="008A5E3B">
      <w:pPr>
        <w:tabs>
          <w:tab w:val="left" w:pos="1644"/>
        </w:tabs>
        <w:rPr>
          <w:b/>
          <w:bCs/>
        </w:rPr>
      </w:pPr>
      <w:r w:rsidRPr="001B4FB4">
        <w:rPr>
          <w:b/>
          <w:bCs/>
        </w:rPr>
        <w:t>Jamali, B., Zare, O., Nabavian, M., &amp; Rezaei, F. (2025). The prevalence of perceived stress and depression in women facing abortion and related obstetric and non-obstetric risk factors: A cross-sectional study.</w:t>
      </w:r>
      <w:r w:rsidRPr="001B4FB4">
        <w:rPr>
          <w:b/>
          <w:bCs/>
          <w:i/>
          <w:iCs/>
        </w:rPr>
        <w:t> Reproductive Health, 22</w:t>
      </w:r>
      <w:r w:rsidRPr="001B4FB4">
        <w:rPr>
          <w:b/>
          <w:bCs/>
        </w:rPr>
        <w:t>(1), 50. https://doi.org/10.1186/s</w:t>
      </w:r>
    </w:p>
    <w:p w14:paraId="2A3385E8" w14:textId="77777777" w:rsidR="008A5E3B" w:rsidRDefault="008A5E3B" w:rsidP="000D4D14">
      <w:pPr>
        <w:rPr>
          <w:b/>
          <w:bCs/>
          <w:color w:val="A02B93" w:themeColor="accent5"/>
          <w:sz w:val="28"/>
          <w:szCs w:val="28"/>
        </w:rPr>
      </w:pPr>
    </w:p>
    <w:p w14:paraId="4717FCCF" w14:textId="77777777" w:rsidR="008A5E3B" w:rsidRDefault="008A5E3B" w:rsidP="008A5E3B">
      <w:pPr>
        <w:tabs>
          <w:tab w:val="left" w:pos="1644"/>
        </w:tabs>
      </w:pPr>
      <w:r w:rsidRPr="00B01CA0">
        <w:lastRenderedPageBreak/>
        <w:t>Available studies have limitations in identifying risk factors after abortion. Therefore, this study aimed to investigate the prevalence of perceived stress and depression in women facing abortion and to identify related obstetric and non-obstetric risk factors.</w:t>
      </w:r>
    </w:p>
    <w:p w14:paraId="7E4A6EA2" w14:textId="77777777" w:rsidR="008A5E3B" w:rsidRDefault="008A5E3B" w:rsidP="008A5E3B">
      <w:pPr>
        <w:tabs>
          <w:tab w:val="left" w:pos="1644"/>
        </w:tabs>
      </w:pPr>
      <w:r w:rsidRPr="00B01CA0">
        <w:t>Today, abortion is referred to as a women’s health problem, the key issue of health, and a major issue raised in the context of reproductive and sexual rights, affecting not only women’s health but also their partners, children, and the whole family. Estimates indicate that 42 million abortions occur annually worldwide, 20 million of which are not safe and lead to the death of 70,000 mothers and 5 million temporary or permanent disabilities.</w:t>
      </w:r>
    </w:p>
    <w:p w14:paraId="08832A1A" w14:textId="77777777" w:rsidR="008A5E3B" w:rsidRDefault="008A5E3B" w:rsidP="008A5E3B">
      <w:pPr>
        <w:tabs>
          <w:tab w:val="left" w:pos="1644"/>
        </w:tabs>
      </w:pPr>
    </w:p>
    <w:p w14:paraId="2AF2D4A1" w14:textId="77777777" w:rsidR="008A5E3B" w:rsidRPr="00B01CA0" w:rsidRDefault="008A5E3B" w:rsidP="008A5E3B">
      <w:pPr>
        <w:tabs>
          <w:tab w:val="left" w:pos="1644"/>
        </w:tabs>
      </w:pPr>
      <w:r w:rsidRPr="00B01CA0">
        <w:t xml:space="preserve"> In most cases, abortion is a stressful event in life that challenges women’s mental health</w:t>
      </w:r>
      <w:r>
        <w:t xml:space="preserve">. </w:t>
      </w:r>
      <w:r w:rsidRPr="00B01CA0">
        <w:t>Although some women cope well with this condition, others suffer from a wide range of mental health problems. Although abortion is common in reproductive age, there are conflicting opinions about the occurrence of post-abortion stress</w:t>
      </w:r>
      <w:r>
        <w:t xml:space="preserve">. </w:t>
      </w:r>
      <w:r w:rsidRPr="00B01CA0">
        <w:t xml:space="preserve"> Plenty of scientific evidence is available about the relationship between abortion and mental health disorders, e.g., sadness, anxiety, depression, post-traumatic stress (PTS), suicide risk, psychosomatic disorders, and sexual health disorders. </w:t>
      </w:r>
      <w:r>
        <w:t xml:space="preserve"> </w:t>
      </w:r>
      <w:r w:rsidRPr="00B01CA0">
        <w:t xml:space="preserve">An extensive study on longitudinal complications after abortion documented women’s experiences of post-traumatic stress (29%), </w:t>
      </w:r>
      <w:r>
        <w:t>moderate-to-severe</w:t>
      </w:r>
      <w:r w:rsidRPr="00B01CA0">
        <w:t xml:space="preserve"> anxiety (24%), and </w:t>
      </w:r>
      <w:r>
        <w:t>moderate-to-severe</w:t>
      </w:r>
      <w:r w:rsidRPr="00B01CA0">
        <w:t xml:space="preserve"> depression (11%) after abortion.</w:t>
      </w:r>
      <w:r>
        <w:t xml:space="preserve"> </w:t>
      </w:r>
      <w:r w:rsidRPr="00B01CA0">
        <w:t xml:space="preserve"> In addition, their spouses were also at significant risk of symptoms of anxiety, depression, and PTS.</w:t>
      </w:r>
      <w:r>
        <w:t xml:space="preserve"> </w:t>
      </w:r>
      <w:r w:rsidRPr="00B01CA0">
        <w:t xml:space="preserve"> However, different results are reported on women’s psychological responses to abortion</w:t>
      </w:r>
      <w:r>
        <w:t>.  Some</w:t>
      </w:r>
      <w:r w:rsidRPr="00B01CA0">
        <w:t xml:space="preserve"> researchers believe that abortion per se does not lead to psychological complications</w:t>
      </w:r>
      <w:r>
        <w:t>.</w:t>
      </w:r>
    </w:p>
    <w:p w14:paraId="788951E7" w14:textId="77777777" w:rsidR="008A5E3B" w:rsidRDefault="008A5E3B" w:rsidP="000D4D14">
      <w:pPr>
        <w:rPr>
          <w:b/>
          <w:bCs/>
          <w:color w:val="A02B93" w:themeColor="accent5"/>
          <w:sz w:val="28"/>
          <w:szCs w:val="28"/>
        </w:rPr>
      </w:pPr>
    </w:p>
    <w:p w14:paraId="247951A9" w14:textId="22EC6A30" w:rsidR="000D4D14" w:rsidRDefault="000D4D14" w:rsidP="000D4D1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2</w:t>
      </w:r>
      <w:r w:rsidR="008A5E3B">
        <w:rPr>
          <w:b/>
          <w:bCs/>
          <w:color w:val="A02B93" w:themeColor="accent5"/>
          <w:sz w:val="28"/>
          <w:szCs w:val="28"/>
        </w:rPr>
        <w:t>8</w:t>
      </w:r>
      <w:r w:rsidR="008A2EDB">
        <w:rPr>
          <w:b/>
          <w:bCs/>
          <w:color w:val="A02B93" w:themeColor="accent5"/>
          <w:sz w:val="28"/>
          <w:szCs w:val="28"/>
        </w:rPr>
        <w:t xml:space="preserve"> (03)</w:t>
      </w:r>
    </w:p>
    <w:p w14:paraId="4265875D" w14:textId="6C84738C" w:rsidR="000D4D14" w:rsidRPr="001B23FE" w:rsidRDefault="008A5E3B" w:rsidP="000D4D14">
      <w:pPr>
        <w:rPr>
          <w:b/>
          <w:bCs/>
          <w:sz w:val="28"/>
          <w:szCs w:val="28"/>
        </w:rPr>
      </w:pPr>
      <w:r w:rsidRPr="001B23FE">
        <w:rPr>
          <w:b/>
          <w:bCs/>
          <w:sz w:val="28"/>
          <w:szCs w:val="28"/>
        </w:rPr>
        <w:t>Alberto, G. (2026). Professional obligations and the demandingness of acting against one’s conscience.</w:t>
      </w:r>
      <w:r w:rsidRPr="001B23FE">
        <w:rPr>
          <w:b/>
          <w:bCs/>
          <w:i/>
          <w:iCs/>
          <w:sz w:val="28"/>
          <w:szCs w:val="28"/>
        </w:rPr>
        <w:t> Journal of Medical Ethics, 52</w:t>
      </w:r>
      <w:r w:rsidRPr="001B23FE">
        <w:rPr>
          <w:b/>
          <w:bCs/>
          <w:sz w:val="28"/>
          <w:szCs w:val="28"/>
        </w:rPr>
        <w:t>(1), 58-65. https://doi.org/10.1136/jme-2024-110447</w:t>
      </w:r>
    </w:p>
    <w:p w14:paraId="5EC474A8" w14:textId="5E00D8AB" w:rsidR="008A5E3B" w:rsidRDefault="008A5E3B" w:rsidP="008A5E3B">
      <w:pPr>
        <w:rPr>
          <w:rFonts w:ascii="Aptos" w:hAnsi="Aptos"/>
          <w:color w:val="000000"/>
        </w:rPr>
      </w:pPr>
      <w:r w:rsidRPr="008A5E3B">
        <w:rPr>
          <w:b/>
          <w:bCs/>
          <w:color w:val="A02B93" w:themeColor="accent5"/>
          <w:sz w:val="28"/>
          <w:szCs w:val="28"/>
        </w:rPr>
        <w:br/>
      </w:r>
      <w:r w:rsidRPr="008A5E3B">
        <w:rPr>
          <w:rFonts w:ascii="Aptos" w:hAnsi="Aptos"/>
          <w:color w:val="000000"/>
        </w:rPr>
        <w:t xml:space="preserve">Conscientious objection in healthcare typically refers to healthcare professionals refusing to perform certain procedures or duties on grounds of personal moral or religious convictions. One common position holds that freedom of conscience should be protected when professionals act in their professional capacities. An opposing view maintains that professionalism requires setting aside personal moral or religious convictions when they conflict with professional duties. Much of the discourse has crystallized around these two </w:t>
      </w:r>
      <w:r w:rsidRPr="008A5E3B">
        <w:rPr>
          <w:rFonts w:ascii="Aptos" w:hAnsi="Aptos"/>
          <w:color w:val="000000"/>
        </w:rPr>
        <w:lastRenderedPageBreak/>
        <w:t xml:space="preserve">stances, while compromise approaches attempt to balance </w:t>
      </w:r>
      <w:r w:rsidR="006F73C7" w:rsidRPr="008A5E3B">
        <w:rPr>
          <w:rFonts w:ascii="Aptos" w:hAnsi="Aptos"/>
          <w:color w:val="000000"/>
        </w:rPr>
        <w:t xml:space="preserve">them, </w:t>
      </w:r>
      <w:r w:rsidRPr="008A5E3B">
        <w:rPr>
          <w:rFonts w:ascii="Aptos" w:hAnsi="Aptos"/>
          <w:color w:val="000000"/>
        </w:rPr>
        <w:t>for example, by imposing referral obligations on objecting practitioners.</w:t>
      </w:r>
    </w:p>
    <w:p w14:paraId="44DBCFFD" w14:textId="77777777" w:rsidR="008A5E3B" w:rsidRDefault="008A5E3B" w:rsidP="008A5E3B">
      <w:pPr>
        <w:rPr>
          <w:rFonts w:ascii="Aptos" w:hAnsi="Aptos"/>
          <w:color w:val="000000"/>
        </w:rPr>
      </w:pPr>
    </w:p>
    <w:p w14:paraId="5FE7DE91" w14:textId="03530971" w:rsidR="000D4D14" w:rsidRDefault="000D4D14" w:rsidP="000D4D14">
      <w:pPr>
        <w:rPr>
          <w:b/>
          <w:bCs/>
          <w:color w:val="A02B93" w:themeColor="accent5"/>
          <w:sz w:val="28"/>
          <w:szCs w:val="28"/>
        </w:rPr>
      </w:pPr>
      <w:r w:rsidRPr="0020108E">
        <w:rPr>
          <w:b/>
          <w:bCs/>
          <w:color w:val="A02B93" w:themeColor="accent5"/>
          <w:sz w:val="28"/>
          <w:szCs w:val="28"/>
        </w:rPr>
        <w:t xml:space="preserve">Article </w:t>
      </w:r>
      <w:r w:rsidR="008A5E3B">
        <w:rPr>
          <w:b/>
          <w:bCs/>
          <w:color w:val="A02B93" w:themeColor="accent5"/>
          <w:sz w:val="28"/>
          <w:szCs w:val="28"/>
        </w:rPr>
        <w:t>29</w:t>
      </w:r>
      <w:r w:rsidR="008A2EDB">
        <w:rPr>
          <w:b/>
          <w:bCs/>
          <w:color w:val="A02B93" w:themeColor="accent5"/>
          <w:sz w:val="28"/>
          <w:szCs w:val="28"/>
        </w:rPr>
        <w:t xml:space="preserve"> (04)</w:t>
      </w:r>
    </w:p>
    <w:p w14:paraId="3499AD98" w14:textId="77777777" w:rsidR="00FC7414" w:rsidRPr="00973D4A" w:rsidRDefault="00FC7414" w:rsidP="00FC7414">
      <w:r w:rsidRPr="00973D4A">
        <w:rPr>
          <w:b/>
          <w:bCs/>
        </w:rPr>
        <w:t>He, Y., Wang, L., Tang, R., Jin, H., Liu, B., Chen, S., Mu, H., &amp; Wang, X. (2024). Common mental disorders and risk of spontaneous abortion or recurrent spontaneous abortion: A two-sample Mendelian randomization study. Journal of affective disorders, 354, 258–266.</w:t>
      </w:r>
    </w:p>
    <w:p w14:paraId="06A566BB" w14:textId="77777777" w:rsidR="00FC7414" w:rsidRPr="00973D4A" w:rsidRDefault="00FC7414" w:rsidP="00FC7414">
      <w:r w:rsidRPr="00973D4A">
        <w:t> </w:t>
      </w:r>
      <w:hyperlink r:id="rId8" w:tgtFrame="_blank" w:history="1">
        <w:r w:rsidRPr="00973D4A">
          <w:rPr>
            <w:rStyle w:val="Hyperlink"/>
          </w:rPr>
          <w:t>https://doi.org/10.1016/j.jad.2024.03.026</w:t>
        </w:r>
      </w:hyperlink>
    </w:p>
    <w:p w14:paraId="1262C47E" w14:textId="77777777" w:rsidR="00FC7414" w:rsidRDefault="00FC7414" w:rsidP="00FC7414">
      <w:r w:rsidRPr="00973D4A">
        <w:t> The general aim was to explore causal relationships between common mental disorders (anxiety disorders, broad depression, major depressive disorder (MDD), bipolar disorder, and insomnia) and miscarriage and recurrent spontaneous abortion (RSA). Mendelian randomization results revealed the four mental disorders were found to be causally associated with spontaneous abortion (anxiety disorder, major depressive disorder, bipolar disorder, and insomnia. No causal relationship was detected between broad depression and spontaneous abortion, and five common mental disorders were not causally associated with the RSA. The authors recommend future studies on whether mental disorders directly lead to RSA (particularly unexplained RSA).</w:t>
      </w:r>
    </w:p>
    <w:p w14:paraId="7256EDDB" w14:textId="77777777" w:rsidR="00FC7414" w:rsidRDefault="00FC7414" w:rsidP="00FC7414"/>
    <w:p w14:paraId="2FB8D3F2" w14:textId="73D90679" w:rsidR="000D4D14" w:rsidRDefault="000D4D14" w:rsidP="000D4D1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3</w:t>
      </w:r>
      <w:r w:rsidR="008A5E3B">
        <w:rPr>
          <w:b/>
          <w:bCs/>
          <w:color w:val="A02B93" w:themeColor="accent5"/>
          <w:sz w:val="28"/>
          <w:szCs w:val="28"/>
        </w:rPr>
        <w:t>0</w:t>
      </w:r>
      <w:r w:rsidR="00FC7414">
        <w:rPr>
          <w:b/>
          <w:bCs/>
          <w:color w:val="A02B93" w:themeColor="accent5"/>
          <w:sz w:val="28"/>
          <w:szCs w:val="28"/>
        </w:rPr>
        <w:t xml:space="preserve"> (05)</w:t>
      </w:r>
    </w:p>
    <w:p w14:paraId="0B6C6E8F" w14:textId="2D44896A" w:rsidR="00FC7414" w:rsidRPr="00973D4A" w:rsidRDefault="00FC7414" w:rsidP="00FC7414">
      <w:r w:rsidRPr="00973D4A">
        <w:rPr>
          <w:b/>
          <w:bCs/>
        </w:rPr>
        <w:t>Heath, J. M., &amp; Nguyen, B. T. (2025). Why men have abortions: Quantitative and qualitative perspectives from urban family planning clinics in Chicago, Illinois, USA. American Journal of Men's Health, 19(1), 15579883241307795.</w:t>
      </w:r>
      <w:r>
        <w:rPr>
          <w:b/>
          <w:bCs/>
        </w:rPr>
        <w:t xml:space="preserve"> </w:t>
      </w:r>
      <w:r w:rsidRPr="00973D4A">
        <w:t> </w:t>
      </w:r>
    </w:p>
    <w:p w14:paraId="59DA1C12" w14:textId="77777777" w:rsidR="00FC7414" w:rsidRPr="00973D4A" w:rsidRDefault="00FC7414" w:rsidP="00FC7414">
      <w:hyperlink r:id="rId9" w:tgtFrame="_blank" w:history="1">
        <w:r w:rsidRPr="00973D4A">
          <w:rPr>
            <w:rStyle w:val="Hyperlink"/>
          </w:rPr>
          <w:t>https://doi.org/10.1177/15579883241307795</w:t>
        </w:r>
      </w:hyperlink>
    </w:p>
    <w:p w14:paraId="35BD0FAE" w14:textId="39587C7A" w:rsidR="00FC7414" w:rsidRDefault="00FC7414" w:rsidP="00FC7414">
      <w:r w:rsidRPr="00973D4A">
        <w:t xml:space="preserve"> In this study focusing on men’s involvement in abortion decisions, Heath and Nguyen analyzed data from surveys and interviews with men who had experienced or contributed to abortion decisions across urban clinics in Chicago. They found that men often cited financial challenges, reluctance about fatherhood, and relationship stability concerns as motivating factors. Some participants reported cultural or familial stigma, but most ultimately supported their partners’ choices. The study highlights how men’s sense of responsibility, communication with partners, and personal experiences shape abortion-related attitudes and decision-making. The authors also identified gaps in men’s reproductive health knowledge, as well as limited access to counseling tailored to men’s </w:t>
      </w:r>
      <w:r w:rsidRPr="00973D4A">
        <w:lastRenderedPageBreak/>
        <w:t>needs. The findings underscore the importance of male-inclusive family planning services and call for fostering open dialogue to improve collaborative decision-making. Ultimately, Heath and Nguyen argued that engaging men is essential for promoting equitable and supportive environments around reproductive choices, care, and health outcomes.</w:t>
      </w:r>
    </w:p>
    <w:p w14:paraId="0E6A0874" w14:textId="77777777" w:rsidR="00FC7414" w:rsidRPr="00973D4A" w:rsidRDefault="00FC7414" w:rsidP="00FC7414"/>
    <w:p w14:paraId="09DF38EF" w14:textId="4F3FECD9" w:rsidR="000D4D14" w:rsidRDefault="000D4D14" w:rsidP="000D4D1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3</w:t>
      </w:r>
      <w:r w:rsidR="008A5E3B">
        <w:rPr>
          <w:b/>
          <w:bCs/>
          <w:color w:val="A02B93" w:themeColor="accent5"/>
          <w:sz w:val="28"/>
          <w:szCs w:val="28"/>
        </w:rPr>
        <w:t>1</w:t>
      </w:r>
      <w:r w:rsidR="00FC7414">
        <w:rPr>
          <w:b/>
          <w:bCs/>
          <w:color w:val="A02B93" w:themeColor="accent5"/>
          <w:sz w:val="28"/>
          <w:szCs w:val="28"/>
        </w:rPr>
        <w:t xml:space="preserve"> (06)</w:t>
      </w:r>
    </w:p>
    <w:p w14:paraId="757802D6" w14:textId="77777777" w:rsidR="00FC7414" w:rsidRPr="00973D4A" w:rsidRDefault="00FC7414" w:rsidP="00FC7414">
      <w:r w:rsidRPr="00973D4A">
        <w:rPr>
          <w:b/>
          <w:bCs/>
        </w:rPr>
        <w:t>Hsu, H. W., Huang, J. P., Au, H. K., Lin, C. L., Chen, Y. Y., Chien, L. C., Chao, H. J., Lo, Y. C., Lin, W. Y., &amp; Chen, Y. H. (2024). Impact of miscarriage and termination of pregnancy on subsequent pregnancies: A longitudinal study of maternal and paternal depression, anxiety and eudaimonia. Journal of affective disorders, 354, 544–552.</w:t>
      </w:r>
    </w:p>
    <w:p w14:paraId="1811D2C4" w14:textId="77777777" w:rsidR="00FC7414" w:rsidRPr="00973D4A" w:rsidRDefault="00FC7414" w:rsidP="00FC7414">
      <w:r w:rsidRPr="00973D4A">
        <w:t> </w:t>
      </w:r>
      <w:hyperlink r:id="rId10" w:tgtFrame="_blank" w:history="1">
        <w:r w:rsidRPr="00973D4A">
          <w:rPr>
            <w:rStyle w:val="Hyperlink"/>
          </w:rPr>
          <w:t>https://doi.org/10.1016/j.jad.2024.03.054</w:t>
        </w:r>
      </w:hyperlink>
    </w:p>
    <w:p w14:paraId="7ECF68F7" w14:textId="77777777" w:rsidR="00FC7414" w:rsidRPr="00973D4A" w:rsidRDefault="00FC7414" w:rsidP="00FC7414">
      <w:hyperlink r:id="rId11" w:tgtFrame="_blank" w:history="1">
        <w:r w:rsidRPr="00973D4A">
          <w:rPr>
            <w:rStyle w:val="Hyperlink"/>
          </w:rPr>
          <w:t>https://www.sciencedirect.com/science/article/pii/S0165032724004701?casa_token=syYn3hCdtAQAAAAA:vJpC-r-q_WWeY2EIPs_wGWhCm0UzjWgth_tmXk7CqNzUHGihoPEMnDWfvJ9eYJxPxj7SzvylQQ</w:t>
        </w:r>
      </w:hyperlink>
    </w:p>
    <w:p w14:paraId="75FABBAC" w14:textId="77777777" w:rsidR="00FC7414" w:rsidRPr="00973D4A" w:rsidRDefault="00FC7414" w:rsidP="00FC7414">
      <w:r w:rsidRPr="00973D4A">
        <w:t> </w:t>
      </w:r>
    </w:p>
    <w:p w14:paraId="2EFE9DB6" w14:textId="12B23A2A" w:rsidR="00FC7414" w:rsidRPr="00973D4A" w:rsidRDefault="00FC7414" w:rsidP="00FC7414">
      <w:r w:rsidRPr="00973D4A">
        <w:t>This longitudinal study explored associations between miscarriage and termination and indicators of parental well-being in subsequent pregnancies (prenatal to postpartum years), with consideration for parity. Positive mental health (e.g., eudaimonia) of both first-time and multi-time parents, focusing on paternal responses</w:t>
      </w:r>
      <w:r>
        <w:t>,</w:t>
      </w:r>
      <w:r w:rsidRPr="00973D4A">
        <w:t xml:space="preserve"> was considered a new contribution given limited existing data in professional literature. Pregnant women and their partners were recruited during early prenatal visits extending from 2011 to 2022 in Taiwan. Follow-up occurred from mid-pregnancy to 1 year postpartum with 6 waves of self-report data collection. Among the 1813 women sampled, 11.3 % and 14.7 % reported histories of miscarriage and termination, respectively. Experience of miscarriage was associated with increased risk for paternal depression, higher levels of anxiety, and lower eudaimonia scores from the prenatal to postpartum year, particularly among multiparous individuals. Experiences of termination were associated with increased risks of depression in partners. The authors concluded, “These findings highlight the decreased well-being of men whose partners have undergone termination of pregnancy or experienced miscarriage and stress the importance of interventions aimed at preventing adverse consequences among these individuals.”</w:t>
      </w:r>
    </w:p>
    <w:p w14:paraId="206CB9B7" w14:textId="77777777" w:rsidR="000D4D14" w:rsidRDefault="000D4D14" w:rsidP="000D4D14">
      <w:pPr>
        <w:rPr>
          <w:b/>
          <w:bCs/>
          <w:color w:val="A02B93" w:themeColor="accent5"/>
          <w:sz w:val="28"/>
          <w:szCs w:val="28"/>
        </w:rPr>
      </w:pPr>
    </w:p>
    <w:p w14:paraId="2E5C8C29" w14:textId="77777777" w:rsidR="000D4D14" w:rsidRDefault="000D4D14" w:rsidP="000D4D14">
      <w:pPr>
        <w:rPr>
          <w:b/>
          <w:bCs/>
          <w:color w:val="A02B93" w:themeColor="accent5"/>
          <w:sz w:val="28"/>
          <w:szCs w:val="28"/>
        </w:rPr>
      </w:pPr>
    </w:p>
    <w:p w14:paraId="7BCC852C" w14:textId="7B47B3A4" w:rsidR="00FC7414" w:rsidRPr="00FC7414" w:rsidRDefault="000D4D14" w:rsidP="00FC7414">
      <w:pPr>
        <w:rPr>
          <w:b/>
          <w:bCs/>
          <w:color w:val="A02B93" w:themeColor="accent5"/>
          <w:sz w:val="28"/>
          <w:szCs w:val="28"/>
        </w:rPr>
      </w:pPr>
      <w:r w:rsidRPr="0020108E">
        <w:rPr>
          <w:b/>
          <w:bCs/>
          <w:color w:val="A02B93" w:themeColor="accent5"/>
          <w:sz w:val="28"/>
          <w:szCs w:val="28"/>
        </w:rPr>
        <w:lastRenderedPageBreak/>
        <w:t xml:space="preserve">Article </w:t>
      </w:r>
      <w:r>
        <w:rPr>
          <w:b/>
          <w:bCs/>
          <w:color w:val="A02B93" w:themeColor="accent5"/>
          <w:sz w:val="28"/>
          <w:szCs w:val="28"/>
        </w:rPr>
        <w:t>33</w:t>
      </w:r>
      <w:r w:rsidR="00FC7414">
        <w:rPr>
          <w:b/>
          <w:bCs/>
          <w:color w:val="A02B93" w:themeColor="accent5"/>
          <w:sz w:val="28"/>
          <w:szCs w:val="28"/>
        </w:rPr>
        <w:t xml:space="preserve"> (07)</w:t>
      </w:r>
    </w:p>
    <w:p w14:paraId="43CA47BD" w14:textId="541590D1" w:rsidR="00FC7414" w:rsidRPr="00973D4A" w:rsidRDefault="00FC7414" w:rsidP="00FC7414">
      <w:r w:rsidRPr="00973D4A">
        <w:rPr>
          <w:b/>
          <w:bCs/>
        </w:rPr>
        <w:t xml:space="preserve">Irmscher, L., Marx, R., Linke, M., Zimmermann, A., </w:t>
      </w:r>
      <w:proofErr w:type="spellStart"/>
      <w:r w:rsidRPr="00973D4A">
        <w:rPr>
          <w:b/>
          <w:bCs/>
        </w:rPr>
        <w:t>Drössler</w:t>
      </w:r>
      <w:proofErr w:type="spellEnd"/>
      <w:r w:rsidRPr="00973D4A">
        <w:rPr>
          <w:b/>
          <w:bCs/>
        </w:rPr>
        <w:t>, S., &amp; Berth, H. (2024). Anxiety, depression, somatization and psychological distress before and 2-6 years after a late termination of pregnancy due to fetal anomalies. BMC women's health, 24(1), 255.</w:t>
      </w:r>
    </w:p>
    <w:p w14:paraId="422F062F" w14:textId="77777777" w:rsidR="00FC7414" w:rsidRPr="00973D4A" w:rsidRDefault="00FC7414" w:rsidP="00FC7414">
      <w:hyperlink r:id="rId12" w:tgtFrame="_blank" w:history="1">
        <w:r w:rsidRPr="00973D4A">
          <w:rPr>
            <w:rStyle w:val="Hyperlink"/>
            <w:b/>
            <w:bCs/>
          </w:rPr>
          <w:t>https://doi.org/10.1186/s12905-024-03082-3</w:t>
        </w:r>
      </w:hyperlink>
    </w:p>
    <w:p w14:paraId="210D21D4" w14:textId="77777777" w:rsidR="00FC7414" w:rsidRPr="00973D4A" w:rsidRDefault="00FC7414" w:rsidP="00FC7414">
      <w:hyperlink r:id="rId13" w:tgtFrame="_blank" w:history="1">
        <w:r w:rsidRPr="00973D4A">
          <w:rPr>
            <w:rStyle w:val="Hyperlink"/>
            <w:b/>
            <w:bCs/>
          </w:rPr>
          <w:t>https://link.springer.com/article/10.1186/s12905-024-03082-3</w:t>
        </w:r>
      </w:hyperlink>
      <w:r w:rsidRPr="00973D4A">
        <w:rPr>
          <w:b/>
          <w:bCs/>
        </w:rPr>
        <w:t> </w:t>
      </w:r>
    </w:p>
    <w:p w14:paraId="0FD772F2" w14:textId="77777777" w:rsidR="00FC7414" w:rsidRPr="00973D4A" w:rsidRDefault="00FC7414" w:rsidP="00FC7414">
      <w:r w:rsidRPr="00973D4A">
        <w:t> </w:t>
      </w:r>
    </w:p>
    <w:p w14:paraId="576178D7" w14:textId="5A618C2C" w:rsidR="00FC7414" w:rsidRPr="00973D4A" w:rsidRDefault="00FC7414" w:rsidP="00FC7414">
      <w:r w:rsidRPr="00973D4A">
        <w:t xml:space="preserve">The authors noted that few studies have investigated the long-term psychological impact of late termination of pregnancy (TOP) for fetal anomaly. The data for this study were derived from 90 women who answered a questionnaire about anxiety, depression and somatization shortly before (T1) and 2-6 years after (T4) their late termination of pregnancy. Results revealed that before the late TOP, 57.8% of participants showed above-average levels of overall psychological distress (66.7% anxiety, 51.1% depression, 37.8% somatization). Significant decreases were observed over time and at 2-6 years post-termination, 10.0% of women still reported above-average levels </w:t>
      </w:r>
      <w:r>
        <w:t xml:space="preserve">of </w:t>
      </w:r>
      <w:r w:rsidRPr="00973D4A">
        <w:t>psychological disturbance (17.8% anxiety, 11.1% depression, 10.0% somatization). The authors identified limitations of their study that included monocentric data collection, drop-out between T1 and T4, and the relatively extended time span of two to six years after TOP. Finally, the authors concluded, “Our results support those of previous research showing that late TOP has a substantial psychological impact on those experiencing it in the short-term. In the long-term, most women return to normal levels of psychological distress, although some still show elevated levels.”</w:t>
      </w:r>
    </w:p>
    <w:p w14:paraId="01051623" w14:textId="77777777" w:rsidR="000D4D14" w:rsidRDefault="000D4D14" w:rsidP="000D4D14">
      <w:pPr>
        <w:rPr>
          <w:b/>
          <w:bCs/>
          <w:color w:val="A02B93" w:themeColor="accent5"/>
          <w:sz w:val="28"/>
          <w:szCs w:val="28"/>
        </w:rPr>
      </w:pPr>
    </w:p>
    <w:p w14:paraId="2CA24CE7" w14:textId="12F13F17" w:rsidR="000D4D14" w:rsidRDefault="000D4D14" w:rsidP="000D4D1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34</w:t>
      </w:r>
      <w:r w:rsidR="00FC7414">
        <w:rPr>
          <w:b/>
          <w:bCs/>
          <w:color w:val="A02B93" w:themeColor="accent5"/>
          <w:sz w:val="28"/>
          <w:szCs w:val="28"/>
        </w:rPr>
        <w:t xml:space="preserve"> (08)</w:t>
      </w:r>
    </w:p>
    <w:p w14:paraId="25A0DCA6" w14:textId="77777777" w:rsidR="00FC7414" w:rsidRPr="00973D4A" w:rsidRDefault="00FC7414" w:rsidP="00FC7414">
      <w:r w:rsidRPr="00973D4A">
        <w:rPr>
          <w:b/>
          <w:bCs/>
        </w:rPr>
        <w:t>Jozkowski, K.N., Bueno, X., LaRoche, K.J., Crawford, B.L., Turner, R.C., &amp; Lo, W. (2024). Participant</w:t>
      </w:r>
      <w:r w:rsidRPr="00973D4A">
        <w:rPr>
          <w:rFonts w:ascii="Cambria Math" w:hAnsi="Cambria Math" w:cs="Cambria Math"/>
          <w:b/>
          <w:bCs/>
        </w:rPr>
        <w:t>‐</w:t>
      </w:r>
      <w:r w:rsidRPr="00973D4A">
        <w:rPr>
          <w:b/>
          <w:bCs/>
        </w:rPr>
        <w:t>driven salient beliefs regarding abortion: Implications for abortion attitude measurement. Social Science Quarterly.</w:t>
      </w:r>
    </w:p>
    <w:p w14:paraId="029A50F0" w14:textId="27BA8CE3" w:rsidR="00FC7414" w:rsidRPr="00973D4A" w:rsidRDefault="00FC7414" w:rsidP="00FC7414">
      <w:r w:rsidRPr="00973D4A">
        <w:t> </w:t>
      </w:r>
      <w:hyperlink r:id="rId14" w:tgtFrame="_blank" w:history="1">
        <w:r w:rsidRPr="00973D4A">
          <w:rPr>
            <w:rStyle w:val="Hyperlink"/>
          </w:rPr>
          <w:t>https://onlinelibrary.wiley.com/doi/10.1111/ssqu.13343</w:t>
        </w:r>
      </w:hyperlink>
    </w:p>
    <w:p w14:paraId="5C434933" w14:textId="3ABB9C42" w:rsidR="00FC7414" w:rsidRPr="00973D4A" w:rsidRDefault="00FC7414" w:rsidP="00FC7414">
      <w:r w:rsidRPr="00973D4A">
        <w:t xml:space="preserve"> Applying a Reasoned Action Approach, the authors used salient belief elicitation (SBE) to generate participants' beliefs regarding abortion. The investigators administered their SBE to English—and Spanish-speaking U.S. adults (N = 608) from NORC’s </w:t>
      </w:r>
      <w:proofErr w:type="spellStart"/>
      <w:r w:rsidRPr="00973D4A">
        <w:t>AmeriSpeak</w:t>
      </w:r>
      <w:proofErr w:type="spellEnd"/>
      <w:r w:rsidRPr="00973D4A">
        <w:t xml:space="preserve">® panel. Inductive content and thematic analyses were employed to assess open-ended questions. </w:t>
      </w:r>
      <w:r w:rsidRPr="00973D4A">
        <w:lastRenderedPageBreak/>
        <w:t>The results revealed participants’ control and behavioral beliefs referring to circumstances addressed to assess abortion attitudes in polling and reasons people seek abortion, as well as potential negative emotions and positive consequences associated with abortion. Participants indicated pregnant people’s partners and people seeking abortion as salient referents. Although the participants described several contexts reflected in existing measures used to assess attitudes by national surveys and polls, they also found circumstances not reflected in common measures and a range of salient referents.</w:t>
      </w:r>
    </w:p>
    <w:p w14:paraId="55AB8BF6" w14:textId="77777777" w:rsidR="00FC7414" w:rsidRDefault="00FC7414" w:rsidP="000D4D14">
      <w:pPr>
        <w:rPr>
          <w:b/>
          <w:bCs/>
          <w:color w:val="A02B93" w:themeColor="accent5"/>
          <w:sz w:val="28"/>
          <w:szCs w:val="28"/>
        </w:rPr>
      </w:pPr>
    </w:p>
    <w:p w14:paraId="09F19EA3" w14:textId="4A6667DE" w:rsidR="000D4D14" w:rsidRDefault="000D4D14" w:rsidP="000D4D1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35</w:t>
      </w:r>
      <w:r w:rsidR="00FC7414">
        <w:rPr>
          <w:b/>
          <w:bCs/>
          <w:color w:val="A02B93" w:themeColor="accent5"/>
          <w:sz w:val="28"/>
          <w:szCs w:val="28"/>
        </w:rPr>
        <w:t xml:space="preserve"> (09)</w:t>
      </w:r>
    </w:p>
    <w:p w14:paraId="3EC79A7D" w14:textId="77777777" w:rsidR="00FC7414" w:rsidRPr="00973D4A" w:rsidRDefault="00FC7414" w:rsidP="00FC7414">
      <w:r w:rsidRPr="00973D4A">
        <w:rPr>
          <w:b/>
          <w:bCs/>
        </w:rPr>
        <w:t xml:space="preserve">Kemppainen, V., Mentula, M., Seppälä, T., Gissler, M., </w:t>
      </w:r>
      <w:proofErr w:type="spellStart"/>
      <w:r w:rsidRPr="00973D4A">
        <w:rPr>
          <w:b/>
          <w:bCs/>
        </w:rPr>
        <w:t>Rouhe</w:t>
      </w:r>
      <w:proofErr w:type="spellEnd"/>
      <w:r w:rsidRPr="00973D4A">
        <w:rPr>
          <w:b/>
          <w:bCs/>
        </w:rPr>
        <w:t xml:space="preserve">, H., Terhi, S., Heikinheimo, O., &amp; Niinimäki, M. (2024). Fear of childbirth after induced abortion in primiparous women: Population-based register study from Finland. Acta </w:t>
      </w:r>
      <w:proofErr w:type="spellStart"/>
      <w:r w:rsidRPr="00973D4A">
        <w:rPr>
          <w:b/>
          <w:bCs/>
        </w:rPr>
        <w:t>obstetricia</w:t>
      </w:r>
      <w:proofErr w:type="spellEnd"/>
      <w:r w:rsidRPr="00973D4A">
        <w:rPr>
          <w:b/>
          <w:bCs/>
        </w:rPr>
        <w:t xml:space="preserve"> et </w:t>
      </w:r>
      <w:proofErr w:type="spellStart"/>
      <w:r w:rsidRPr="00973D4A">
        <w:rPr>
          <w:b/>
          <w:bCs/>
        </w:rPr>
        <w:t>gynecologica</w:t>
      </w:r>
      <w:proofErr w:type="spellEnd"/>
      <w:r w:rsidRPr="00973D4A">
        <w:rPr>
          <w:b/>
          <w:bCs/>
        </w:rPr>
        <w:t xml:space="preserve"> Scandinavica, 103(2), 241–249.</w:t>
      </w:r>
    </w:p>
    <w:p w14:paraId="2FFE179E" w14:textId="794DDC3B" w:rsidR="00FC7414" w:rsidRPr="00973D4A" w:rsidRDefault="00FC7414" w:rsidP="00FC7414">
      <w:r w:rsidRPr="00973D4A">
        <w:t> </w:t>
      </w:r>
      <w:hyperlink r:id="rId15" w:tgtFrame="_blank" w:history="1">
        <w:r w:rsidRPr="00973D4A">
          <w:rPr>
            <w:rStyle w:val="Hyperlink"/>
          </w:rPr>
          <w:t>https://doi.org/10.1111/aogs.14718</w:t>
        </w:r>
      </w:hyperlink>
    </w:p>
    <w:p w14:paraId="41DCD44D" w14:textId="77777777" w:rsidR="00FC7414" w:rsidRPr="00973D4A" w:rsidRDefault="00FC7414" w:rsidP="00FC7414">
      <w:hyperlink r:id="rId16" w:tgtFrame="_blank" w:history="1">
        <w:r w:rsidRPr="00973D4A">
          <w:rPr>
            <w:rStyle w:val="Hyperlink"/>
          </w:rPr>
          <w:t>https://obgyn.onlinelibrary.wiley.com/doi/full/10.1111/aogs.14718</w:t>
        </w:r>
      </w:hyperlink>
      <w:r w:rsidRPr="00973D4A">
        <w:t> </w:t>
      </w:r>
    </w:p>
    <w:p w14:paraId="7CA3481A" w14:textId="17E64E13" w:rsidR="00FC7414" w:rsidRPr="00973D4A" w:rsidRDefault="00FC7414" w:rsidP="00FC7414">
      <w:r w:rsidRPr="00973D4A">
        <w:t xml:space="preserve"> Fear of childbirth (FOC) is a common challenge that characterizes about 10% of pregnancies. The current study focused on the association between induced abortion (IA) and FOC in subsequent pregnancies. This was a population-based register study utilizing three Finnish national registers: the Register of Induced Abortions, the Medical Birth Register and the Hospital Discharge Register. The analyses focused on primigravid women undergoing an IA between 2000 and 2015 who also experienced a subsequent pregnancy ending in a live singleton birth up to 2017. Controls were implemented for age, residential </w:t>
      </w:r>
      <w:proofErr w:type="gramStart"/>
      <w:r w:rsidRPr="00973D4A">
        <w:t>area</w:t>
      </w:r>
      <w:proofErr w:type="gramEnd"/>
      <w:r w:rsidRPr="00973D4A">
        <w:t>, and first pregnancies ending in a live birth. The main outcome was the incidence of FOC in the subsequent pregnancy. The cohort consisted of 21455 target women and 63425 controls. Results revealed that 4.2% of women had a diagnosis of FOC. The incidence was higher in women with a history of IA than in controls (5.6% vs 3.7%). In addition, a history of psychiatric diagnosis, high maternal age, and smoking were associated with increased odds for FOC. The associations of FOC with a history of psychiatric diagnosis and elevated maternal age (especially ≥40</w:t>
      </w:r>
      <w:r w:rsidRPr="00973D4A">
        <w:rPr>
          <w:rFonts w:ascii="Arial" w:hAnsi="Arial" w:cs="Arial"/>
        </w:rPr>
        <w:t> </w:t>
      </w:r>
      <w:r w:rsidRPr="00973D4A">
        <w:t>years old) were more pronounced than the association between IA and FOC.</w:t>
      </w:r>
    </w:p>
    <w:p w14:paraId="0CEDFD01" w14:textId="77777777" w:rsidR="00FC7414" w:rsidRDefault="00FC7414" w:rsidP="000D4D14">
      <w:pPr>
        <w:rPr>
          <w:b/>
          <w:bCs/>
          <w:color w:val="A02B93" w:themeColor="accent5"/>
          <w:sz w:val="28"/>
          <w:szCs w:val="28"/>
        </w:rPr>
      </w:pPr>
    </w:p>
    <w:p w14:paraId="6D1A011E" w14:textId="3B06BF84" w:rsidR="000D4D14" w:rsidRDefault="000D4D14" w:rsidP="000D4D1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36</w:t>
      </w:r>
      <w:r w:rsidR="00FC7414">
        <w:rPr>
          <w:b/>
          <w:bCs/>
          <w:color w:val="A02B93" w:themeColor="accent5"/>
          <w:sz w:val="28"/>
          <w:szCs w:val="28"/>
        </w:rPr>
        <w:t xml:space="preserve"> (10)</w:t>
      </w:r>
    </w:p>
    <w:p w14:paraId="3E394070" w14:textId="77777777" w:rsidR="00FC7414" w:rsidRPr="00973D4A" w:rsidRDefault="00FC7414" w:rsidP="00FC7414">
      <w:r w:rsidRPr="00973D4A">
        <w:rPr>
          <w:b/>
          <w:bCs/>
        </w:rPr>
        <w:lastRenderedPageBreak/>
        <w:t xml:space="preserve">Kirk, E. &amp; Hanlon, R., Informing Choice: The Role of Adoption in Women’s </w:t>
      </w:r>
      <w:proofErr w:type="gramStart"/>
      <w:r w:rsidRPr="00973D4A">
        <w:rPr>
          <w:b/>
          <w:bCs/>
        </w:rPr>
        <w:t>Pregnancy Decision</w:t>
      </w:r>
      <w:proofErr w:type="gramEnd"/>
      <w:r w:rsidRPr="00973D4A">
        <w:rPr>
          <w:b/>
          <w:bCs/>
        </w:rPr>
        <w:t xml:space="preserve">-Making (February 1, 2024). 39 Notre Dame J.L. Ethics &amp; Pub. </w:t>
      </w:r>
      <w:proofErr w:type="spellStart"/>
      <w:r w:rsidRPr="00973D4A">
        <w:rPr>
          <w:b/>
          <w:bCs/>
        </w:rPr>
        <w:t>Pol'y</w:t>
      </w:r>
      <w:proofErr w:type="spellEnd"/>
      <w:r w:rsidRPr="00973D4A">
        <w:rPr>
          <w:b/>
          <w:bCs/>
        </w:rPr>
        <w:t xml:space="preserve"> (2025, Forthcoming), Available at SSRN.</w:t>
      </w:r>
    </w:p>
    <w:p w14:paraId="39C54AFC" w14:textId="720C4DDA" w:rsidR="00FC7414" w:rsidRPr="00973D4A" w:rsidRDefault="00FC7414" w:rsidP="00FC7414">
      <w:r w:rsidRPr="00973D4A">
        <w:t> </w:t>
      </w:r>
      <w:hyperlink r:id="rId17" w:tgtFrame="_blank" w:history="1">
        <w:r w:rsidRPr="00973D4A">
          <w:rPr>
            <w:rStyle w:val="Hyperlink"/>
          </w:rPr>
          <w:t>https://ssrn.com/abstract=4744517</w:t>
        </w:r>
      </w:hyperlink>
    </w:p>
    <w:p w14:paraId="600B1A35" w14:textId="77777777" w:rsidR="000F3408" w:rsidRDefault="00FC7414" w:rsidP="00FC7414">
      <w:r w:rsidRPr="00973D4A">
        <w:rPr>
          <w:rFonts w:ascii="Arial" w:hAnsi="Arial" w:cs="Arial"/>
        </w:rPr>
        <w:t>​</w:t>
      </w:r>
      <w:r w:rsidRPr="00973D4A">
        <w:t xml:space="preserve">The authors draw on their academic expertise in law and social science to discuss the paradox of general high societal regard for the institution of adoption, yet in practice it is rarely accessed as an option for unintended pregnancy. Social science data and literature on women’s pregnancy decision-making </w:t>
      </w:r>
      <w:r>
        <w:t>are</w:t>
      </w:r>
      <w:r w:rsidRPr="00973D4A">
        <w:t xml:space="preserve"> examined to support the need for laws and policies that promote informed choice.</w:t>
      </w:r>
    </w:p>
    <w:p w14:paraId="36A6C98C" w14:textId="5BA18F80" w:rsidR="00FC7414" w:rsidRPr="00973D4A" w:rsidRDefault="00FC7414" w:rsidP="00FC7414">
      <w:r w:rsidRPr="00973D4A">
        <w:t xml:space="preserve"> They describe </w:t>
      </w:r>
      <w:r>
        <w:t>unpublished</w:t>
      </w:r>
      <w:r w:rsidRPr="00973D4A">
        <w:t xml:space="preserve"> survey data and analysis from the largest study on birth mothers’ decision-making and coercion experiences in addition to aggregating and analyzing existing published studies related to pregnancy decision-making regarding adoption. They also conducted a 50-state survey of abortion-specific informed consent laws, described the findings, and proposed reform. Specifically, to promote principles of autonomy and self-determination, they recommended all states require disclosure of information about adoption. This change is necessary for women to receive accurate and sufficient information to make a fully informed decision that is free from pressure or coercion.</w:t>
      </w:r>
    </w:p>
    <w:p w14:paraId="278AA888" w14:textId="2680E7A8" w:rsidR="000D4D14" w:rsidRDefault="000D4D14" w:rsidP="000D4D14">
      <w:pPr>
        <w:rPr>
          <w:b/>
          <w:bCs/>
          <w:color w:val="A02B93" w:themeColor="accent5"/>
          <w:sz w:val="28"/>
          <w:szCs w:val="28"/>
        </w:rPr>
      </w:pPr>
      <w:proofErr w:type="gramStart"/>
      <w:r w:rsidRPr="0020108E">
        <w:rPr>
          <w:b/>
          <w:bCs/>
          <w:color w:val="A02B93" w:themeColor="accent5"/>
          <w:sz w:val="28"/>
          <w:szCs w:val="28"/>
        </w:rPr>
        <w:t xml:space="preserve">Article </w:t>
      </w:r>
      <w:r>
        <w:rPr>
          <w:b/>
          <w:bCs/>
          <w:color w:val="A02B93" w:themeColor="accent5"/>
          <w:sz w:val="28"/>
          <w:szCs w:val="28"/>
        </w:rPr>
        <w:t xml:space="preserve"> 37</w:t>
      </w:r>
      <w:proofErr w:type="gramEnd"/>
      <w:r w:rsidR="00FC7414">
        <w:rPr>
          <w:b/>
          <w:bCs/>
          <w:color w:val="A02B93" w:themeColor="accent5"/>
          <w:sz w:val="28"/>
          <w:szCs w:val="28"/>
        </w:rPr>
        <w:t xml:space="preserve"> (11)</w:t>
      </w:r>
    </w:p>
    <w:p w14:paraId="105B54E0" w14:textId="77777777" w:rsidR="000F3408" w:rsidRPr="00973D4A" w:rsidRDefault="000F3408" w:rsidP="000F3408">
      <w:r w:rsidRPr="00973D4A">
        <w:rPr>
          <w:b/>
          <w:bCs/>
        </w:rPr>
        <w:t xml:space="preserve">Kirkpatrick, L., Bell, L. A., Borcky, T., Boutros-Khoury, H., Hooven-Davis, J., Rankine, J., Robbins, C., Syed, T., </w:t>
      </w:r>
      <w:proofErr w:type="spellStart"/>
      <w:r w:rsidRPr="00973D4A">
        <w:rPr>
          <w:b/>
          <w:bCs/>
        </w:rPr>
        <w:t>Szoko</w:t>
      </w:r>
      <w:proofErr w:type="spellEnd"/>
      <w:r w:rsidRPr="00973D4A">
        <w:rPr>
          <w:b/>
          <w:bCs/>
        </w:rPr>
        <w:t>, N., &amp; Allison, B. A. (2025). Evaluation of a Pregnancy Options Counseling Curriculum for Pediatric Residents. The Journal of adolescent health: official publication of the Society for Adolescent Medicine, 76(3), 475–481.</w:t>
      </w:r>
    </w:p>
    <w:p w14:paraId="4BB00F24" w14:textId="5E0D0C58" w:rsidR="000F3408" w:rsidRPr="00973D4A" w:rsidRDefault="000F3408" w:rsidP="000F3408">
      <w:r w:rsidRPr="00973D4A">
        <w:t> </w:t>
      </w:r>
      <w:hyperlink r:id="rId18" w:tgtFrame="_blank" w:history="1">
        <w:r w:rsidRPr="00973D4A">
          <w:rPr>
            <w:rStyle w:val="Hyperlink"/>
          </w:rPr>
          <w:t>https://www.jahonline.org/article/S1054-139X(24)00555-X/fulltext</w:t>
        </w:r>
      </w:hyperlink>
    </w:p>
    <w:p w14:paraId="3EFD19EC" w14:textId="557434B8" w:rsidR="000F3408" w:rsidRPr="00973D4A" w:rsidRDefault="000F3408" w:rsidP="000F3408">
      <w:r w:rsidRPr="00973D4A">
        <w:rPr>
          <w:rFonts w:ascii="Arial" w:hAnsi="Arial" w:cs="Arial"/>
        </w:rPr>
        <w:t>​</w:t>
      </w:r>
      <w:r w:rsidRPr="000F3408">
        <w:rPr>
          <w:rFonts w:ascii="Aptos" w:hAnsi="Aptos"/>
          <w:color w:val="000000"/>
        </w:rPr>
        <w:t xml:space="preserve">Kirkpatrick et al. (2025) assessed a targeted pregnancy-options counseling curriculum developed for pediatric residents, acknowledging pediatricians’ essential role in adolescent reproductive health. The curriculum aimed to strengthen residents’ competence in discussing parenting, adoption, and termination through structured, patient-centered instruction that emphasized nonjudgmental communication and sensitivity to ethical and emotional complexities. Employing a pre- and post-intervention design, the study measured changes in knowledge, attitudes, and counseling skills associated with curriculum implementation. Results demonstrated statistically and clinically meaningful improvements across multiple domains: residents reported greater confidence facilitating complex conversations, deeper appreciation of ethical and </w:t>
      </w:r>
      <w:r w:rsidRPr="000F3408">
        <w:rPr>
          <w:rFonts w:ascii="Aptos" w:hAnsi="Aptos"/>
          <w:color w:val="000000"/>
        </w:rPr>
        <w:lastRenderedPageBreak/>
        <w:t>psychosocial considerations, and enhanced counseling technique</w:t>
      </w:r>
      <w:r>
        <w:rPr>
          <w:rFonts w:ascii="Aptos" w:hAnsi="Aptos"/>
          <w:color w:val="000000"/>
        </w:rPr>
        <w:t>s</w:t>
      </w:r>
      <w:r w:rsidRPr="000F3408">
        <w:rPr>
          <w:rFonts w:ascii="Aptos" w:hAnsi="Aptos"/>
          <w:color w:val="000000"/>
        </w:rPr>
        <w:t xml:space="preserve">. Participants praised the curriculum’s practical emphasis and interactive components, noting improved preparedness for clinical encounters. The intervention was feasible and well received within the residency context. Study findings support the pedagogic value of integrating structured pregnancy-options counseling into pediatric training to augment resident proficiency and potentially improve adolescent care outcomes. The authors recommend broader adoption and further evaluation of the curriculum across diverse training environments </w:t>
      </w:r>
      <w:proofErr w:type="gramStart"/>
      <w:r w:rsidRPr="000F3408">
        <w:rPr>
          <w:rFonts w:ascii="Aptos" w:hAnsi="Aptos"/>
          <w:color w:val="000000"/>
        </w:rPr>
        <w:t>to</w:t>
      </w:r>
      <w:r>
        <w:rPr>
          <w:rFonts w:ascii="Aptos" w:hAnsi="Aptos"/>
          <w:color w:val="000000"/>
        </w:rPr>
        <w:t>:</w:t>
      </w:r>
      <w:proofErr w:type="gramEnd"/>
      <w:r w:rsidRPr="000F3408">
        <w:rPr>
          <w:rFonts w:ascii="Aptos" w:hAnsi="Aptos"/>
          <w:color w:val="000000"/>
        </w:rPr>
        <w:t xml:space="preserve"> confirm generalizability, assess long-term skill retention, and quantify impacts on patient-centered outcomes.</w:t>
      </w:r>
    </w:p>
    <w:p w14:paraId="75BF0A7C" w14:textId="77777777" w:rsidR="000D4D14" w:rsidRDefault="000D4D14" w:rsidP="000D4D14">
      <w:pPr>
        <w:rPr>
          <w:b/>
          <w:bCs/>
          <w:color w:val="A02B93" w:themeColor="accent5"/>
          <w:sz w:val="28"/>
          <w:szCs w:val="28"/>
        </w:rPr>
      </w:pPr>
    </w:p>
    <w:p w14:paraId="17FD5036" w14:textId="4050F02E" w:rsidR="000D4D14" w:rsidRDefault="000D4D14" w:rsidP="000D4D1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38</w:t>
      </w:r>
      <w:r w:rsidR="00FC7414">
        <w:rPr>
          <w:b/>
          <w:bCs/>
          <w:color w:val="A02B93" w:themeColor="accent5"/>
          <w:sz w:val="28"/>
          <w:szCs w:val="28"/>
        </w:rPr>
        <w:t xml:space="preserve"> (12)</w:t>
      </w:r>
    </w:p>
    <w:p w14:paraId="7817D198" w14:textId="77777777" w:rsidR="000F3408" w:rsidRPr="00973D4A" w:rsidRDefault="000F3408" w:rsidP="000F3408">
      <w:proofErr w:type="spellStart"/>
      <w:r w:rsidRPr="00973D4A">
        <w:rPr>
          <w:b/>
          <w:bCs/>
        </w:rPr>
        <w:t>Klemets</w:t>
      </w:r>
      <w:proofErr w:type="spellEnd"/>
      <w:r w:rsidRPr="00973D4A">
        <w:rPr>
          <w:b/>
          <w:bCs/>
        </w:rPr>
        <w:t xml:space="preserve">, L., &amp; Makenzius, M. (2024). Exposure to violence and associated factors among abortion-seeking women - A </w:t>
      </w:r>
      <w:proofErr w:type="spellStart"/>
      <w:r w:rsidRPr="00973D4A">
        <w:rPr>
          <w:b/>
          <w:bCs/>
        </w:rPr>
        <w:t>multicentre</w:t>
      </w:r>
      <w:proofErr w:type="spellEnd"/>
      <w:r w:rsidRPr="00973D4A">
        <w:rPr>
          <w:b/>
          <w:bCs/>
        </w:rPr>
        <w:t xml:space="preserve"> study in Sweden during the Covid-19 pandemic. Sexual &amp; reproductive healthcare: official journal of the Swedish Association of Midwives, 39, 100927.  </w:t>
      </w:r>
    </w:p>
    <w:p w14:paraId="15C8E36F" w14:textId="1C00C546" w:rsidR="000F3408" w:rsidRPr="00973D4A" w:rsidRDefault="000F3408" w:rsidP="000F3408">
      <w:r w:rsidRPr="00973D4A">
        <w:rPr>
          <w:rFonts w:ascii="Arial" w:hAnsi="Arial" w:cs="Arial"/>
        </w:rPr>
        <w:t>​</w:t>
      </w:r>
      <w:hyperlink r:id="rId19" w:tgtFrame="_blank" w:history="1">
        <w:r w:rsidRPr="00973D4A">
          <w:rPr>
            <w:rStyle w:val="Hyperlink"/>
          </w:rPr>
          <w:t>https://www.ncbi.nlm.nih.gov/pmc/articles/PMC8882666/</w:t>
        </w:r>
      </w:hyperlink>
      <w:r w:rsidRPr="00973D4A">
        <w:t>  </w:t>
      </w:r>
    </w:p>
    <w:p w14:paraId="16134E09" w14:textId="28133DDB" w:rsidR="000F3408" w:rsidRPr="00973D4A" w:rsidRDefault="000F3408" w:rsidP="000F3408">
      <w:r w:rsidRPr="00973D4A">
        <w:t xml:space="preserve"> Factors associated with exposure to violence over the past 12 months were examined among women seeking abortion. This cross-sectional study involved 623 abortion-seeking women in Sweden from January to June 2021. In the sample, 9.9% (n = 59) reported exposure to physical, psychological, and/or sexual violence that occurred within the past 12 months. After adjustment for confounding, the significant factors included: age 16-26, poor physical and mental well-being </w:t>
      </w:r>
      <w:r>
        <w:t>before</w:t>
      </w:r>
      <w:r w:rsidRPr="00973D4A">
        <w:t xml:space="preserve"> pregnancy, having had ≥ 2 previous abortions, and being single. The authors concluded, “Abortion providers have a crucial role and should consistently identify women exposed to violence, offering them the necessary guidance and referrals for further support.” </w:t>
      </w:r>
    </w:p>
    <w:p w14:paraId="7F8E8471" w14:textId="77777777" w:rsidR="000D4D14" w:rsidRDefault="000D4D14" w:rsidP="000D4D14">
      <w:pPr>
        <w:rPr>
          <w:b/>
          <w:bCs/>
          <w:color w:val="A02B93" w:themeColor="accent5"/>
          <w:sz w:val="28"/>
          <w:szCs w:val="28"/>
        </w:rPr>
      </w:pPr>
    </w:p>
    <w:p w14:paraId="4170BEDC" w14:textId="5DD82926" w:rsidR="000D4D14" w:rsidRDefault="000D4D14" w:rsidP="000D4D1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39</w:t>
      </w:r>
      <w:r w:rsidR="00FC7414">
        <w:rPr>
          <w:b/>
          <w:bCs/>
          <w:color w:val="A02B93" w:themeColor="accent5"/>
          <w:sz w:val="28"/>
          <w:szCs w:val="28"/>
        </w:rPr>
        <w:t xml:space="preserve"> (13)</w:t>
      </w:r>
    </w:p>
    <w:p w14:paraId="6FDD3B18" w14:textId="77777777" w:rsidR="00FB4F14" w:rsidRPr="00973D4A" w:rsidRDefault="00FB4F14" w:rsidP="00FB4F14">
      <w:r w:rsidRPr="00973D4A">
        <w:rPr>
          <w:b/>
          <w:bCs/>
        </w:rPr>
        <w:t>Lee, L., Gerber, K., &amp; Kammers, M. P. M. (2025). Providing emotional care for early pregnancy loss: Development and evaluation of a new training module for healthcare providers.  </w:t>
      </w:r>
      <w:proofErr w:type="gramStart"/>
      <w:r w:rsidRPr="00973D4A">
        <w:rPr>
          <w:b/>
          <w:bCs/>
          <w:i/>
          <w:iCs/>
        </w:rPr>
        <w:t>Midwifery, 10</w:t>
      </w:r>
      <w:proofErr w:type="gramEnd"/>
      <w:r w:rsidRPr="00973D4A">
        <w:rPr>
          <w:b/>
          <w:bCs/>
          <w:i/>
          <w:iCs/>
        </w:rPr>
        <w:t>,</w:t>
      </w:r>
      <w:r w:rsidRPr="00973D4A">
        <w:rPr>
          <w:b/>
          <w:bCs/>
        </w:rPr>
        <w:t> 104233.</w:t>
      </w:r>
    </w:p>
    <w:p w14:paraId="11804326" w14:textId="2B784D13" w:rsidR="00FB4F14" w:rsidRPr="00973D4A" w:rsidRDefault="00FB4F14" w:rsidP="00FB4F14">
      <w:r w:rsidRPr="00973D4A">
        <w:t> </w:t>
      </w:r>
      <w:hyperlink r:id="rId20" w:tgtFrame="_blank" w:history="1">
        <w:r w:rsidRPr="00973D4A">
          <w:rPr>
            <w:rStyle w:val="Hyperlink"/>
          </w:rPr>
          <w:t>https://doi.org/10.1016/j.midw.2024.104233</w:t>
        </w:r>
      </w:hyperlink>
    </w:p>
    <w:p w14:paraId="009CB59E" w14:textId="77777777" w:rsidR="00FB4F14" w:rsidRPr="00973D4A" w:rsidRDefault="00FB4F14" w:rsidP="00FB4F14">
      <w:r w:rsidRPr="00973D4A">
        <w:rPr>
          <w:rFonts w:ascii="Arial" w:hAnsi="Arial" w:cs="Arial"/>
        </w:rPr>
        <w:t>​</w:t>
      </w:r>
    </w:p>
    <w:p w14:paraId="453DF9D9" w14:textId="77777777" w:rsidR="00FB4F14" w:rsidRDefault="00FB4F14" w:rsidP="00FB4F14">
      <w:pPr>
        <w:rPr>
          <w:rFonts w:ascii="Aptos" w:hAnsi="Aptos"/>
          <w:color w:val="000000"/>
        </w:rPr>
      </w:pPr>
      <w:r w:rsidRPr="00FB4F14">
        <w:rPr>
          <w:rFonts w:ascii="Aptos" w:hAnsi="Aptos"/>
          <w:color w:val="000000"/>
        </w:rPr>
        <w:lastRenderedPageBreak/>
        <w:t xml:space="preserve">Miscarriage commonly produces significant grief and emotional distress. The intensity of this response is strongly affected by interactions with healthcare personnel during and after the event. Supportive, informed care can mitigate bereavement, whereas insensitive or poorly informed encounters tend to exacerbate suffering. Frequently, clinical staff lack specific training in communication and bereavement support for pregnancy loss, indicating an imperative for targeted educational resources. In response, this study assessed a newly developed training module designed to improve staff awareness and practical competencies related to miscarriage care. </w:t>
      </w:r>
    </w:p>
    <w:p w14:paraId="16F01357" w14:textId="75A6C475" w:rsidR="00FB4F14" w:rsidRDefault="00FB4F14" w:rsidP="00FB4F14">
      <w:r w:rsidRPr="00FB4F14">
        <w:rPr>
          <w:rFonts w:ascii="Aptos" w:hAnsi="Aptos"/>
          <w:color w:val="000000"/>
        </w:rPr>
        <w:t>Evaluation results indicated the module was highly effective, producing measurable increases in knowledge and skill among participants. Notably, improvements were observed across diverse roles, including anesthetists, midwives, nurses, obstetricians and administrative reception staff. The authors propose that widespread implementation of this module could address existing gaps in care provision and contribute to more compassionate, competent support for individuals experiencing miscarriage.</w:t>
      </w:r>
    </w:p>
    <w:p w14:paraId="53BC5FA1" w14:textId="77777777" w:rsidR="000F3408" w:rsidRDefault="000F3408" w:rsidP="000D4D14">
      <w:pPr>
        <w:rPr>
          <w:b/>
          <w:bCs/>
          <w:color w:val="A02B93" w:themeColor="accent5"/>
          <w:sz w:val="28"/>
          <w:szCs w:val="28"/>
        </w:rPr>
      </w:pPr>
    </w:p>
    <w:p w14:paraId="2A5C8553" w14:textId="038353E9" w:rsidR="000D4D14" w:rsidRDefault="000D4D14" w:rsidP="000D4D1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40</w:t>
      </w:r>
      <w:r w:rsidR="00FC7414">
        <w:rPr>
          <w:b/>
          <w:bCs/>
          <w:color w:val="A02B93" w:themeColor="accent5"/>
          <w:sz w:val="28"/>
          <w:szCs w:val="28"/>
        </w:rPr>
        <w:t xml:space="preserve"> (14)</w:t>
      </w:r>
    </w:p>
    <w:p w14:paraId="795E15A5" w14:textId="5DAB42E3" w:rsidR="00FB4F14" w:rsidRPr="00973D4A" w:rsidRDefault="00FB4F14" w:rsidP="00FB4F14">
      <w:r w:rsidRPr="00973D4A">
        <w:rPr>
          <w:b/>
          <w:bCs/>
        </w:rPr>
        <w:t xml:space="preserve">Li, J., Liu, F., Liu, Z. et al. Prevalence and associated factors of depression in postmenopausal women: </w:t>
      </w:r>
      <w:r>
        <w:rPr>
          <w:b/>
          <w:bCs/>
        </w:rPr>
        <w:t>A</w:t>
      </w:r>
      <w:r w:rsidRPr="00973D4A">
        <w:rPr>
          <w:b/>
          <w:bCs/>
        </w:rPr>
        <w:t xml:space="preserve"> systematic review and meta-analysis. BMC Psychiatry 24, 431 (2024).</w:t>
      </w:r>
    </w:p>
    <w:p w14:paraId="79783227" w14:textId="4FADF548" w:rsidR="00FB4F14" w:rsidRPr="00973D4A" w:rsidRDefault="00FB4F14" w:rsidP="00FB4F14">
      <w:r w:rsidRPr="00973D4A">
        <w:t> </w:t>
      </w:r>
      <w:hyperlink r:id="rId21" w:tgtFrame="_blank" w:history="1">
        <w:r w:rsidRPr="00973D4A">
          <w:rPr>
            <w:rStyle w:val="Hyperlink"/>
          </w:rPr>
          <w:t>https://doi.org/10.1186/s12888-024-05875-0</w:t>
        </w:r>
      </w:hyperlink>
    </w:p>
    <w:p w14:paraId="264CF3D8" w14:textId="28DAF6D4" w:rsidR="00FB4F14" w:rsidRPr="00973D4A" w:rsidRDefault="00FB4F14" w:rsidP="00FB4F14">
      <w:r w:rsidRPr="00973D4A">
        <w:rPr>
          <w:rFonts w:ascii="Arial" w:hAnsi="Arial" w:cs="Arial"/>
        </w:rPr>
        <w:t>​</w:t>
      </w:r>
      <w:r w:rsidRPr="00973D4A">
        <w:t xml:space="preserve">Depression is a relatively common mental health problem in postmenopausal women. This systematic review and meta-analysis evaluated depression worldwide and explored predictors among postmenopausal women. The meta-analysis incorporated 50 studies involving 385,092 postmenopausal women. The prevalence of depression in postmenopausal women was 28.00%. Risk factors for depression among postmenopausal women included the following: marital status, history of mental illness, chronic disease, menstrual cycle, abortion numbers, menopausal symptoms, and hormone replacement therapy, whereas physical activity, number of breastfed infants, and menopause age were preventive factors. The authors commented it is “necessary to improve screening and management and optimize prevention and intervention strategies to reduce the harmful effects of postmenopausal </w:t>
      </w:r>
      <w:r w:rsidRPr="00973D4A">
        <w:t>depression.</w:t>
      </w:r>
    </w:p>
    <w:p w14:paraId="3571C29F" w14:textId="77777777" w:rsidR="000D4D14" w:rsidRDefault="000D4D14" w:rsidP="000D4D14">
      <w:pPr>
        <w:rPr>
          <w:b/>
          <w:bCs/>
          <w:color w:val="A02B93" w:themeColor="accent5"/>
          <w:sz w:val="28"/>
          <w:szCs w:val="28"/>
        </w:rPr>
      </w:pPr>
    </w:p>
    <w:p w14:paraId="611104AB" w14:textId="77777777" w:rsidR="00FB4F14" w:rsidRDefault="00FB4F14" w:rsidP="000D4D14">
      <w:pPr>
        <w:rPr>
          <w:b/>
          <w:bCs/>
          <w:color w:val="A02B93" w:themeColor="accent5"/>
          <w:sz w:val="28"/>
          <w:szCs w:val="28"/>
        </w:rPr>
      </w:pPr>
    </w:p>
    <w:p w14:paraId="2027EA8F" w14:textId="3527549E" w:rsidR="000D4D14" w:rsidRDefault="000D4D14" w:rsidP="000D4D14">
      <w:pPr>
        <w:rPr>
          <w:b/>
          <w:bCs/>
          <w:color w:val="A02B93" w:themeColor="accent5"/>
          <w:sz w:val="28"/>
          <w:szCs w:val="28"/>
        </w:rPr>
      </w:pPr>
      <w:r w:rsidRPr="0020108E">
        <w:rPr>
          <w:b/>
          <w:bCs/>
          <w:color w:val="A02B93" w:themeColor="accent5"/>
          <w:sz w:val="28"/>
          <w:szCs w:val="28"/>
        </w:rPr>
        <w:lastRenderedPageBreak/>
        <w:t xml:space="preserve">Article </w:t>
      </w:r>
      <w:r>
        <w:rPr>
          <w:b/>
          <w:bCs/>
          <w:color w:val="A02B93" w:themeColor="accent5"/>
          <w:sz w:val="28"/>
          <w:szCs w:val="28"/>
        </w:rPr>
        <w:t>41</w:t>
      </w:r>
      <w:r w:rsidR="00FC7414">
        <w:rPr>
          <w:b/>
          <w:bCs/>
          <w:color w:val="A02B93" w:themeColor="accent5"/>
          <w:sz w:val="28"/>
          <w:szCs w:val="28"/>
        </w:rPr>
        <w:t xml:space="preserve"> (15)</w:t>
      </w:r>
    </w:p>
    <w:p w14:paraId="35822AB6" w14:textId="77777777" w:rsidR="00FB4F14" w:rsidRPr="00973D4A" w:rsidRDefault="00FB4F14" w:rsidP="00FB4F14">
      <w:r w:rsidRPr="00973D4A">
        <w:rPr>
          <w:b/>
          <w:bCs/>
        </w:rPr>
        <w:t xml:space="preserve">Li, J., Yang, J., </w:t>
      </w:r>
      <w:proofErr w:type="spellStart"/>
      <w:r w:rsidRPr="00973D4A">
        <w:rPr>
          <w:b/>
          <w:bCs/>
        </w:rPr>
        <w:t>Lv</w:t>
      </w:r>
      <w:proofErr w:type="spellEnd"/>
      <w:r w:rsidRPr="00973D4A">
        <w:rPr>
          <w:b/>
          <w:bCs/>
        </w:rPr>
        <w:t>, M., Wang, X., Chen, Z., Zhou, N., Hou, X., &amp; Song, Z. (2023). Development and internal validation of a clinical prediction model for spontaneous abortion risk in early pregnancy. Clinics (Sao Paulo, Brazil), 79, 100318.</w:t>
      </w:r>
    </w:p>
    <w:p w14:paraId="60293EF3" w14:textId="63F4047C" w:rsidR="00FB4F14" w:rsidRPr="00973D4A" w:rsidRDefault="00FB4F14" w:rsidP="00FB4F14">
      <w:r w:rsidRPr="00973D4A">
        <w:t> </w:t>
      </w:r>
      <w:hyperlink r:id="rId22" w:tgtFrame="_blank" w:history="1">
        <w:r w:rsidRPr="00973D4A">
          <w:rPr>
            <w:rStyle w:val="Hyperlink"/>
          </w:rPr>
          <w:t>https://pubmed.ncbi.nlm.nih.gov/38103265/</w:t>
        </w:r>
      </w:hyperlink>
    </w:p>
    <w:p w14:paraId="0386D7EF" w14:textId="5A66CEFD" w:rsidR="00FB4F14" w:rsidRPr="00973D4A" w:rsidRDefault="00FB4F14" w:rsidP="00FB4F14">
      <w:r w:rsidRPr="00973D4A">
        <w:rPr>
          <w:rFonts w:ascii="Arial" w:hAnsi="Arial" w:cs="Arial"/>
        </w:rPr>
        <w:t>​</w:t>
      </w:r>
      <w:r w:rsidRPr="00FB4F14">
        <w:rPr>
          <w:rFonts w:ascii="Aptos" w:hAnsi="Aptos"/>
          <w:color w:val="000000"/>
        </w:rPr>
        <w:t>The study aimed to construct and internally validate a predictive model estimating the risk of spontaneous abortion in early pregnancy. Conducted as a prospective cohort, the investigation enrolled 9,895 pregnant individuals who presented for prenatal care at a maternal health facility in China between January 2021 and December 2022. Comprehensive data were collected on sociodemographic characteristics, medical and reproductive history, lifestyle exposures, and psychological status. A multivariable logistic regression framework was used to derive the prediction model, with spontaneous abortion as the binary outcome. Internal validation employed bootstrap resampling to assess model stability. Model performance was quantified by measures of discrimination and calibration. The observed spontaneous abortion incidence was 5.95%. The final model retained nine predictors: maternal age, prior embryonic arrest, thyroid dysfunction, polycystic ovary syndrome, use of assisted reproduction, environmental pollution exposure, recent home renovation, depression, and stress. The model demonstrated acceptable discrimination and calibration. The authors advise external validation in independent populations prior to routine clinical implementation.</w:t>
      </w:r>
    </w:p>
    <w:p w14:paraId="1A53E940" w14:textId="77777777" w:rsidR="000D4D14" w:rsidRDefault="000D4D14" w:rsidP="000D4D14">
      <w:pPr>
        <w:rPr>
          <w:b/>
          <w:bCs/>
          <w:color w:val="A02B93" w:themeColor="accent5"/>
          <w:sz w:val="28"/>
          <w:szCs w:val="28"/>
        </w:rPr>
      </w:pPr>
    </w:p>
    <w:p w14:paraId="3BFA81D7" w14:textId="46C33ADA" w:rsidR="000D4D14" w:rsidRDefault="000D4D14" w:rsidP="000D4D1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42</w:t>
      </w:r>
      <w:r w:rsidR="00FC7414">
        <w:rPr>
          <w:b/>
          <w:bCs/>
          <w:color w:val="A02B93" w:themeColor="accent5"/>
          <w:sz w:val="28"/>
          <w:szCs w:val="28"/>
        </w:rPr>
        <w:t xml:space="preserve"> (16)</w:t>
      </w:r>
    </w:p>
    <w:p w14:paraId="1184CCF9" w14:textId="77777777" w:rsidR="000B3B5B" w:rsidRPr="00973D4A" w:rsidRDefault="000B3B5B" w:rsidP="000B3B5B">
      <w:r w:rsidRPr="00973D4A">
        <w:rPr>
          <w:b/>
          <w:bCs/>
        </w:rPr>
        <w:t>Li, X., Peng, A., Li, L., &amp; Chen, L. (2024). The association between repeated abortions during childbearing age and the psychological well-being of postmenopausal women in Southwest China: an observational study. BMC Pregnancy and Childbirth, 24(1), 805.</w:t>
      </w:r>
    </w:p>
    <w:p w14:paraId="69CA78B1" w14:textId="53EEDBA5" w:rsidR="000B3B5B" w:rsidRPr="00973D4A" w:rsidRDefault="000B3B5B" w:rsidP="000B3B5B">
      <w:r w:rsidRPr="00973D4A">
        <w:t> </w:t>
      </w:r>
      <w:hyperlink r:id="rId23" w:tgtFrame="_blank" w:history="1">
        <w:r w:rsidRPr="00973D4A">
          <w:rPr>
            <w:rStyle w:val="Hyperlink"/>
          </w:rPr>
          <w:t>https://doi.org/10.1186/s12884-024-07005-w</w:t>
        </w:r>
      </w:hyperlink>
      <w:r w:rsidRPr="00973D4A">
        <w:rPr>
          <w:rFonts w:ascii="Arial" w:hAnsi="Arial" w:cs="Arial"/>
          <w:u w:val="single"/>
        </w:rPr>
        <w:t>​</w:t>
      </w:r>
    </w:p>
    <w:p w14:paraId="178505B4" w14:textId="77777777" w:rsidR="000B3B5B" w:rsidRPr="00973D4A" w:rsidRDefault="000B3B5B" w:rsidP="000B3B5B">
      <w:hyperlink r:id="rId24" w:tgtFrame="_blank" w:history="1">
        <w:r w:rsidRPr="00973D4A">
          <w:rPr>
            <w:rStyle w:val="Hyperlink"/>
          </w:rPr>
          <w:t>https://bmcpregnancychildbirth.biomedcentral.com/articles/10.1186/s12884-024-07005-w</w:t>
        </w:r>
      </w:hyperlink>
    </w:p>
    <w:p w14:paraId="65389757" w14:textId="77777777" w:rsidR="000B3B5B" w:rsidRPr="00973D4A" w:rsidRDefault="000B3B5B" w:rsidP="000B3B5B">
      <w:r w:rsidRPr="00973D4A">
        <w:rPr>
          <w:rFonts w:ascii="Arial" w:hAnsi="Arial" w:cs="Arial"/>
        </w:rPr>
        <w:t>​</w:t>
      </w:r>
    </w:p>
    <w:p w14:paraId="743C564F" w14:textId="77777777" w:rsidR="000B3B5B" w:rsidRDefault="000B3B5B" w:rsidP="000B3B5B">
      <w:r w:rsidRPr="00973D4A">
        <w:t xml:space="preserve">There is </w:t>
      </w:r>
      <w:r>
        <w:t>much</w:t>
      </w:r>
      <w:r w:rsidRPr="00973D4A">
        <w:t xml:space="preserve"> debate surrounding the topic of </w:t>
      </w:r>
      <w:r w:rsidRPr="00973D4A">
        <w:t>whether</w:t>
      </w:r>
      <w:r w:rsidRPr="00973D4A">
        <w:t xml:space="preserve"> abortion puts women at an increased risk of developing mental health issues</w:t>
      </w:r>
      <w:r>
        <w:t>.  Part</w:t>
      </w:r>
      <w:r w:rsidRPr="00973D4A">
        <w:t xml:space="preserve"> of the reason for t</w:t>
      </w:r>
      <w:r>
        <w:t>his</w:t>
      </w:r>
      <w:r w:rsidRPr="00973D4A">
        <w:t xml:space="preserve"> may be the dearth of studies with large subject pools conducted in countries where many abortions are performed, such as China. The authors of this study looked to identify potential </w:t>
      </w:r>
      <w:r w:rsidRPr="00973D4A">
        <w:lastRenderedPageBreak/>
        <w:t>associations between negative mental health and abortion</w:t>
      </w:r>
      <w:r>
        <w:t>,</w:t>
      </w:r>
      <w:r w:rsidRPr="00973D4A">
        <w:t xml:space="preserve"> with a focus on repeat abortion as well among women in China. </w:t>
      </w:r>
    </w:p>
    <w:p w14:paraId="4712D359" w14:textId="7B9A9468" w:rsidR="000B3B5B" w:rsidRPr="00973D4A" w:rsidRDefault="000B3B5B" w:rsidP="000B3B5B">
      <w:r w:rsidRPr="00973D4A">
        <w:t>For methodology, standardized questionnaires were administered and assessed using the “Patient Health Questionnaire-9” and “The 7-item Generalized Anxiety Disorder Scale (GAD-7)” among a pool of 9991 postmenopausal women. The average age was 60.51, and results showed that 11.09% of respondents experienced mental health problems, with a 5.54% and 8.27% split for depression and anxiety, respectively. Additionally, having a history of three or more abortions was a strong indicator of significant issues. The authors concluded that it’s important for women capable of reproduction to increase their knowledge of contraceptives to avoid falling into this category of at-risk women and that institutions in charge of providing care need to better utilize counseling for those who have had the experience.</w:t>
      </w:r>
    </w:p>
    <w:p w14:paraId="738105E5" w14:textId="77777777" w:rsidR="000D4D14" w:rsidRDefault="000D4D14" w:rsidP="000D4D14">
      <w:pPr>
        <w:rPr>
          <w:b/>
          <w:bCs/>
          <w:color w:val="A02B93" w:themeColor="accent5"/>
          <w:sz w:val="28"/>
          <w:szCs w:val="28"/>
        </w:rPr>
      </w:pPr>
    </w:p>
    <w:p w14:paraId="28E5A460" w14:textId="009963F1" w:rsidR="000D4D14" w:rsidRDefault="000D4D14" w:rsidP="000D4D1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43</w:t>
      </w:r>
      <w:r w:rsidR="00FC7414">
        <w:rPr>
          <w:b/>
          <w:bCs/>
          <w:color w:val="A02B93" w:themeColor="accent5"/>
          <w:sz w:val="28"/>
          <w:szCs w:val="28"/>
        </w:rPr>
        <w:t xml:space="preserve"> (17)</w:t>
      </w:r>
    </w:p>
    <w:p w14:paraId="398BECDF" w14:textId="77777777" w:rsidR="000B3B5B" w:rsidRPr="00973D4A" w:rsidRDefault="000B3B5B" w:rsidP="000B3B5B">
      <w:r w:rsidRPr="00973D4A">
        <w:rPr>
          <w:b/>
          <w:bCs/>
        </w:rPr>
        <w:t>Liu, Y. (2025). The entombed lives – the experience of sibling abortion under China’s One-Child Policy.  </w:t>
      </w:r>
      <w:r w:rsidRPr="00973D4A">
        <w:rPr>
          <w:b/>
          <w:bCs/>
          <w:i/>
          <w:iCs/>
        </w:rPr>
        <w:t>Subjectivity</w:t>
      </w:r>
      <w:r w:rsidRPr="00973D4A">
        <w:rPr>
          <w:b/>
          <w:bCs/>
        </w:rPr>
        <w:t> (2025).</w:t>
      </w:r>
    </w:p>
    <w:p w14:paraId="657227CD" w14:textId="67CFB2F2" w:rsidR="000B3B5B" w:rsidRPr="00973D4A" w:rsidRDefault="000B3B5B" w:rsidP="000B3B5B">
      <w:r w:rsidRPr="00973D4A">
        <w:t> </w:t>
      </w:r>
      <w:hyperlink r:id="rId25" w:tgtFrame="_blank" w:history="1">
        <w:r w:rsidRPr="00973D4A">
          <w:rPr>
            <w:rStyle w:val="Hyperlink"/>
          </w:rPr>
          <w:t>https://doi.org/10.1057/s41286-025-00207-3</w:t>
        </w:r>
      </w:hyperlink>
    </w:p>
    <w:p w14:paraId="65941251" w14:textId="77777777" w:rsidR="000B3B5B" w:rsidRDefault="000B3B5B" w:rsidP="000B3B5B">
      <w:pPr>
        <w:rPr>
          <w:rFonts w:ascii="Arial" w:hAnsi="Arial" w:cs="Arial"/>
        </w:rPr>
      </w:pPr>
      <w:r w:rsidRPr="00973D4A">
        <w:rPr>
          <w:rFonts w:ascii="Arial" w:hAnsi="Arial" w:cs="Arial"/>
        </w:rPr>
        <w:t>​</w:t>
      </w:r>
    </w:p>
    <w:p w14:paraId="7BC48C89" w14:textId="728EA670" w:rsidR="000B3B5B" w:rsidRPr="00973D4A" w:rsidRDefault="000B3B5B" w:rsidP="000B3B5B">
      <w:r w:rsidRPr="00973D4A">
        <w:t xml:space="preserve">Liu (2025) examined the emotional and psychological complexities displayed by individuals in China who lost a sibling due to enforced abortions under the One-Child Policy. Drawing on in-depth interviews and personal narratives, the study revealed deep-seated guilt, grief, and longing by those who grew up aware of their missing </w:t>
      </w:r>
      <w:proofErr w:type="gramStart"/>
      <w:r w:rsidRPr="00973D4A">
        <w:t>sibling</w:t>
      </w:r>
      <w:proofErr w:type="gramEnd"/>
      <w:r w:rsidRPr="00973D4A">
        <w:t xml:space="preserve">. Respondents described a pervasive sense of </w:t>
      </w:r>
      <w:proofErr w:type="gramStart"/>
      <w:r w:rsidRPr="00973D4A">
        <w:t>haunting,</w:t>
      </w:r>
      <w:proofErr w:type="gramEnd"/>
      <w:r w:rsidRPr="00973D4A">
        <w:t xml:space="preserve"> as the memory of an unborn sibling shaped family dynamics and personal identity formation, frequently causing ambivalence toward state policy and parental decisions. Many participants did exhibit resilience, forging new understandings of self and family that acknowledged their lost </w:t>
      </w:r>
      <w:proofErr w:type="gramStart"/>
      <w:r w:rsidRPr="00973D4A">
        <w:t>sibling</w:t>
      </w:r>
      <w:proofErr w:type="gramEnd"/>
      <w:r w:rsidRPr="00973D4A">
        <w:t>. Liu called for greater recognition of the painful lived experiences of trauma, encouraging policy reform and psychosocial support to address the far-reaching consequences of reproductive restrictions on individuals and families.</w:t>
      </w:r>
    </w:p>
    <w:p w14:paraId="2911BF53" w14:textId="77777777" w:rsidR="000D4D14" w:rsidRDefault="000D4D14" w:rsidP="000D4D14">
      <w:pPr>
        <w:rPr>
          <w:b/>
          <w:bCs/>
          <w:color w:val="A02B93" w:themeColor="accent5"/>
          <w:sz w:val="28"/>
          <w:szCs w:val="28"/>
        </w:rPr>
      </w:pPr>
    </w:p>
    <w:p w14:paraId="00C154E2" w14:textId="77777777" w:rsidR="000D4D14" w:rsidRDefault="000D4D14" w:rsidP="000D4D14">
      <w:pPr>
        <w:rPr>
          <w:b/>
          <w:bCs/>
          <w:color w:val="A02B93" w:themeColor="accent5"/>
          <w:sz w:val="28"/>
          <w:szCs w:val="28"/>
        </w:rPr>
      </w:pPr>
    </w:p>
    <w:p w14:paraId="60EFFCA1" w14:textId="77777777" w:rsidR="000D4D14" w:rsidRDefault="000D4D14" w:rsidP="000D4D14">
      <w:pPr>
        <w:rPr>
          <w:b/>
          <w:bCs/>
          <w:color w:val="A02B93" w:themeColor="accent5"/>
          <w:sz w:val="28"/>
          <w:szCs w:val="28"/>
        </w:rPr>
      </w:pPr>
    </w:p>
    <w:p w14:paraId="29590063" w14:textId="41AEB806" w:rsidR="000D4D14" w:rsidRDefault="000D4D14" w:rsidP="000D4D14">
      <w:pPr>
        <w:rPr>
          <w:b/>
          <w:bCs/>
          <w:color w:val="A02B93" w:themeColor="accent5"/>
          <w:sz w:val="28"/>
          <w:szCs w:val="28"/>
        </w:rPr>
      </w:pPr>
      <w:r w:rsidRPr="0020108E">
        <w:rPr>
          <w:b/>
          <w:bCs/>
          <w:color w:val="A02B93" w:themeColor="accent5"/>
          <w:sz w:val="28"/>
          <w:szCs w:val="28"/>
        </w:rPr>
        <w:lastRenderedPageBreak/>
        <w:t xml:space="preserve">Article </w:t>
      </w:r>
      <w:r>
        <w:rPr>
          <w:b/>
          <w:bCs/>
          <w:color w:val="A02B93" w:themeColor="accent5"/>
          <w:sz w:val="28"/>
          <w:szCs w:val="28"/>
        </w:rPr>
        <w:t>44</w:t>
      </w:r>
      <w:r w:rsidR="00FC7414">
        <w:rPr>
          <w:b/>
          <w:bCs/>
          <w:color w:val="A02B93" w:themeColor="accent5"/>
          <w:sz w:val="28"/>
          <w:szCs w:val="28"/>
        </w:rPr>
        <w:t xml:space="preserve"> (18)</w:t>
      </w:r>
    </w:p>
    <w:p w14:paraId="545373C2" w14:textId="77777777" w:rsidR="000B3B5B" w:rsidRPr="00973D4A" w:rsidRDefault="000B3B5B" w:rsidP="000B3B5B">
      <w:r w:rsidRPr="00973D4A">
        <w:rPr>
          <w:b/>
          <w:bCs/>
        </w:rPr>
        <w:t xml:space="preserve">Lindman, J., </w:t>
      </w:r>
      <w:proofErr w:type="spellStart"/>
      <w:r w:rsidRPr="00973D4A">
        <w:rPr>
          <w:b/>
          <w:bCs/>
        </w:rPr>
        <w:t>Vomstein</w:t>
      </w:r>
      <w:proofErr w:type="spellEnd"/>
      <w:r w:rsidRPr="00973D4A">
        <w:rPr>
          <w:b/>
          <w:bCs/>
        </w:rPr>
        <w:t>, K., Egerup, P., Krog, M.C., &amp; Nielsen, H.S. (2024). Is lifestyle different in male partners experiencing recurrent pregnancy loss compared to men fathering a live birth? Andrology.</w:t>
      </w:r>
    </w:p>
    <w:p w14:paraId="4FE20671" w14:textId="2BC62C03" w:rsidR="000B3B5B" w:rsidRPr="00973D4A" w:rsidRDefault="000B3B5B" w:rsidP="000B3B5B">
      <w:r w:rsidRPr="00973D4A">
        <w:t> </w:t>
      </w:r>
      <w:hyperlink r:id="rId26" w:tgtFrame="_blank" w:history="1">
        <w:r w:rsidRPr="00973D4A">
          <w:rPr>
            <w:rStyle w:val="Hyperlink"/>
          </w:rPr>
          <w:t>https://onlinelibrary.wiley.com/doi/10.1111/andr.13764</w:t>
        </w:r>
      </w:hyperlink>
    </w:p>
    <w:p w14:paraId="6210AF22" w14:textId="7FFECA5C" w:rsidR="000B3B5B" w:rsidRDefault="000B3B5B" w:rsidP="000B3B5B">
      <w:r w:rsidRPr="00973D4A">
        <w:rPr>
          <w:rFonts w:ascii="Arial" w:hAnsi="Arial" w:cs="Arial"/>
        </w:rPr>
        <w:t>​</w:t>
      </w:r>
    </w:p>
    <w:p w14:paraId="74EDF3F5" w14:textId="351BA111" w:rsidR="000B3B5B" w:rsidRPr="00973D4A" w:rsidRDefault="000B3B5B" w:rsidP="000B3B5B">
      <w:r w:rsidRPr="000B3B5B">
        <w:rPr>
          <w:rFonts w:ascii="Aptos" w:hAnsi="Aptos"/>
          <w:color w:val="000000"/>
        </w:rPr>
        <w:t>For context, pregnancy loss is a distressing, well-documented event; however, the male contribution to recurrent pregnancy loss (RPL) remains less explored. This study evaluated associations between paternal lifestyle factors, chronic illness, and RPL in a Danish cohort. The cohort comprised 741 males referred to a pregnancy loss unit from 2009–2021 and 1,173 control males. Comparative analysis demonstrated that the RPL group exhibited a higher mean burden of adverse lifestyle factors and comorbidities. Although a pattern suggested increased obesity prevalence among cases, this did not reach statistical significance. Smoking and obesity emerged as notable associated factors in the analysis. The authors conclude that paternal smoking and male obesity may be associated with RPL, warranting further investigation to clarify causality and underlying mechanisms. Findings emphasize the importance of including paternal health and modifiable behaviors in clinical assessment and counseling for couples experiencing recurrent pregnancy loss.</w:t>
      </w:r>
    </w:p>
    <w:p w14:paraId="5D2D8E7A" w14:textId="77777777" w:rsidR="000D4D14" w:rsidRDefault="000D4D14" w:rsidP="000D4D14">
      <w:pPr>
        <w:rPr>
          <w:b/>
          <w:bCs/>
          <w:color w:val="A02B93" w:themeColor="accent5"/>
          <w:sz w:val="28"/>
          <w:szCs w:val="28"/>
        </w:rPr>
      </w:pPr>
    </w:p>
    <w:p w14:paraId="2E9949FC" w14:textId="0FB1F12E" w:rsidR="00AA1FA4" w:rsidRPr="00AA1FA4" w:rsidRDefault="000D4D14" w:rsidP="00AA1FA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45</w:t>
      </w:r>
      <w:r w:rsidR="00FC7414">
        <w:rPr>
          <w:b/>
          <w:bCs/>
          <w:color w:val="A02B93" w:themeColor="accent5"/>
          <w:sz w:val="28"/>
          <w:szCs w:val="28"/>
        </w:rPr>
        <w:t xml:space="preserve"> (19)</w:t>
      </w:r>
    </w:p>
    <w:p w14:paraId="49B80D8E" w14:textId="77777777" w:rsidR="00AA1FA4" w:rsidRPr="00973D4A" w:rsidRDefault="00AA1FA4" w:rsidP="00AA1FA4">
      <w:r w:rsidRPr="00973D4A">
        <w:rPr>
          <w:b/>
          <w:bCs/>
        </w:rPr>
        <w:t xml:space="preserve">Lewandowska, M., Scott, R., </w:t>
      </w:r>
      <w:proofErr w:type="spellStart"/>
      <w:r w:rsidRPr="00973D4A">
        <w:rPr>
          <w:b/>
          <w:bCs/>
        </w:rPr>
        <w:t>Meiksin</w:t>
      </w:r>
      <w:proofErr w:type="spellEnd"/>
      <w:r w:rsidRPr="00973D4A">
        <w:rPr>
          <w:b/>
          <w:bCs/>
        </w:rPr>
        <w:t>, R., Reiter, J., Salaria, N., Lohr, P. A., Cameron, S., Palmer, M., French, R. S., Wellings, K., &amp; SACHA Study Team (2024). How can patient experience of abortion care be improved? Evidence from the SACHA study. Women's health (London, England), 20, 17455057241242675</w:t>
      </w:r>
      <w:r w:rsidRPr="00973D4A">
        <w:t>.</w:t>
      </w:r>
    </w:p>
    <w:p w14:paraId="34ECE597" w14:textId="77777777" w:rsidR="00AA1FA4" w:rsidRPr="00973D4A" w:rsidRDefault="00AA1FA4" w:rsidP="00AA1FA4">
      <w:r w:rsidRPr="00973D4A">
        <w:t> </w:t>
      </w:r>
    </w:p>
    <w:p w14:paraId="7F30A5FF" w14:textId="77777777" w:rsidR="00AA1FA4" w:rsidRPr="00973D4A" w:rsidRDefault="00AA1FA4" w:rsidP="00AA1FA4">
      <w:hyperlink r:id="rId27" w:tgtFrame="_blank" w:history="1">
        <w:r w:rsidRPr="00973D4A">
          <w:rPr>
            <w:rStyle w:val="Hyperlink"/>
          </w:rPr>
          <w:t>https://doi.org/10.1177/17455057241242675</w:t>
        </w:r>
      </w:hyperlink>
    </w:p>
    <w:p w14:paraId="085D272B" w14:textId="77777777" w:rsidR="00AA1FA4" w:rsidRPr="00973D4A" w:rsidRDefault="00AA1FA4" w:rsidP="00AA1FA4">
      <w:hyperlink r:id="rId28" w:tgtFrame="_blank" w:history="1">
        <w:r w:rsidRPr="00973D4A">
          <w:rPr>
            <w:rStyle w:val="Hyperlink"/>
          </w:rPr>
          <w:t>https://journals.sagepub.com/doi/full/10.1177/17455057241242675</w:t>
        </w:r>
      </w:hyperlink>
      <w:r w:rsidRPr="00973D4A">
        <w:t> </w:t>
      </w:r>
    </w:p>
    <w:p w14:paraId="78B45617" w14:textId="77777777" w:rsidR="00AA1FA4" w:rsidRPr="00973D4A" w:rsidRDefault="00AA1FA4" w:rsidP="00AA1FA4">
      <w:r w:rsidRPr="00973D4A">
        <w:t> </w:t>
      </w:r>
    </w:p>
    <w:p w14:paraId="398C4D6B" w14:textId="53E4D15B" w:rsidR="000D4D14" w:rsidRDefault="00AA1FA4" w:rsidP="000D4D14">
      <w:pPr>
        <w:rPr>
          <w:rFonts w:ascii="Aptos" w:hAnsi="Aptos"/>
          <w:color w:val="000000"/>
        </w:rPr>
      </w:pPr>
      <w:r w:rsidRPr="00AA1FA4">
        <w:rPr>
          <w:rFonts w:ascii="Aptos" w:hAnsi="Aptos"/>
          <w:color w:val="000000"/>
        </w:rPr>
        <w:t xml:space="preserve">This study employed qualitative, in-depth semi-structured interviews to evaluate women’s satisfaction with abortion services and to elicit recommendations for improvement. The sample comprised 48 women who had recently undergone abortion, recruited from independent sector and National Health Service providers across Scotland, Wales, and </w:t>
      </w:r>
      <w:r w:rsidRPr="00AA1FA4">
        <w:rPr>
          <w:rFonts w:ascii="Aptos" w:hAnsi="Aptos"/>
          <w:color w:val="000000"/>
        </w:rPr>
        <w:lastRenderedPageBreak/>
        <w:t>England. Interviews were conducted via telephone or video call. Participants were aged 16 to 43 years; 39 underwent medical abortion, eight underwent surgical abortion, and one experienced both. Findings indicate that most participants reported satisfaction with clinical care. Provider attributes described as supportive, kind, and non-judgmental were noted positively, as was the convenience of home management for medical abortion. Recommendations for service enhancement emphasized the need for timely access, clearer alignment between expectations and procedural realities, preservation of patient choice, and enhanced provision of personal and emotional support.</w:t>
      </w:r>
    </w:p>
    <w:p w14:paraId="1D39F918" w14:textId="77777777" w:rsidR="00AA1FA4" w:rsidRDefault="00AA1FA4" w:rsidP="000D4D14">
      <w:pPr>
        <w:rPr>
          <w:b/>
          <w:bCs/>
          <w:color w:val="A02B93" w:themeColor="accent5"/>
          <w:sz w:val="28"/>
          <w:szCs w:val="28"/>
        </w:rPr>
      </w:pPr>
    </w:p>
    <w:p w14:paraId="679D57DC" w14:textId="1E6E88FD" w:rsidR="000D4D14" w:rsidRDefault="000D4D14" w:rsidP="000D4D14">
      <w:pPr>
        <w:rPr>
          <w:b/>
          <w:bCs/>
          <w:color w:val="A02B93" w:themeColor="accent5"/>
          <w:sz w:val="28"/>
          <w:szCs w:val="28"/>
        </w:rPr>
      </w:pPr>
      <w:r w:rsidRPr="0020108E">
        <w:rPr>
          <w:b/>
          <w:bCs/>
          <w:color w:val="A02B93" w:themeColor="accent5"/>
          <w:sz w:val="28"/>
          <w:szCs w:val="28"/>
        </w:rPr>
        <w:t xml:space="preserve">Article </w:t>
      </w:r>
      <w:r>
        <w:rPr>
          <w:b/>
          <w:bCs/>
          <w:color w:val="A02B93" w:themeColor="accent5"/>
          <w:sz w:val="28"/>
          <w:szCs w:val="28"/>
        </w:rPr>
        <w:t>46</w:t>
      </w:r>
      <w:r w:rsidR="00FC7414">
        <w:rPr>
          <w:b/>
          <w:bCs/>
          <w:color w:val="A02B93" w:themeColor="accent5"/>
          <w:sz w:val="28"/>
          <w:szCs w:val="28"/>
        </w:rPr>
        <w:t xml:space="preserve"> (20)</w:t>
      </w:r>
    </w:p>
    <w:p w14:paraId="6474A759" w14:textId="74C446CB" w:rsidR="00E57AC0" w:rsidRPr="00973D4A" w:rsidRDefault="00E57AC0" w:rsidP="00E57AC0">
      <w:r w:rsidRPr="00973D4A">
        <w:rPr>
          <w:b/>
          <w:bCs/>
        </w:rPr>
        <w:t xml:space="preserve">Lloyd, C.A., &amp; Hutti, M.H. (2024). Grief intensity following adolescent miscarriage or abortion: A descriptive study of recollections of adult women. </w:t>
      </w:r>
      <w:proofErr w:type="spellStart"/>
      <w:r w:rsidRPr="00973D4A">
        <w:rPr>
          <w:b/>
          <w:bCs/>
        </w:rPr>
        <w:t>Heliyon</w:t>
      </w:r>
      <w:proofErr w:type="spellEnd"/>
      <w:r w:rsidRPr="00973D4A">
        <w:rPr>
          <w:b/>
          <w:bCs/>
        </w:rPr>
        <w:t>, 10</w:t>
      </w:r>
      <w:r>
        <w:rPr>
          <w:b/>
          <w:bCs/>
        </w:rPr>
        <w:t>, Issue 13</w:t>
      </w:r>
    </w:p>
    <w:p w14:paraId="72534DB8" w14:textId="302EC295" w:rsidR="00E57AC0" w:rsidRPr="00973D4A" w:rsidRDefault="00E57AC0" w:rsidP="00E57AC0">
      <w:r w:rsidRPr="00973D4A">
        <w:t> </w:t>
      </w:r>
      <w:hyperlink r:id="rId29" w:tgtFrame="_blank" w:history="1">
        <w:r w:rsidRPr="00973D4A">
          <w:rPr>
            <w:rStyle w:val="Hyperlink"/>
          </w:rPr>
          <w:t>https://www.sciencedirect.com/science/article/pii/S2405844024096658</w:t>
        </w:r>
      </w:hyperlink>
    </w:p>
    <w:p w14:paraId="00D97220" w14:textId="77777777" w:rsidR="00E57AC0" w:rsidRPr="00973D4A" w:rsidRDefault="00E57AC0" w:rsidP="00E57AC0">
      <w:r w:rsidRPr="00973D4A">
        <w:t> </w:t>
      </w:r>
    </w:p>
    <w:p w14:paraId="2629EE52" w14:textId="3C4CF23A" w:rsidR="001A4818" w:rsidRDefault="00E57AC0">
      <w:pPr>
        <w:rPr>
          <w:b/>
          <w:bCs/>
          <w:color w:val="3A7C22" w:themeColor="accent6" w:themeShade="BF"/>
          <w:sz w:val="28"/>
          <w:szCs w:val="28"/>
        </w:rPr>
      </w:pPr>
      <w:r w:rsidRPr="00973D4A">
        <w:t>The stated objective of this study was to take a close look at “women’s recollected lifespan perceptions of the effect of grief intensity” about their experiences with perinatal death and grief. Women filled out online surveys. Results showed that when participants were adolescents, the level and intensity of care received weren’t impacted much by the loss they experienced. However, abortion was associated with greater grief intensity despite the quality of care not having changed. It was also found that 25% of women who participated had an increasing level of grief as time went on. The authors concluded from the totality of their findings that beyond what was stated above, women’s grief after this form of loss can change in intensity in response to events in their lives, and it’s important for professionals to be able to identify women at higher risk and when they are suffering the most.</w:t>
      </w:r>
      <w:r w:rsidR="001A4818">
        <w:rPr>
          <w:b/>
          <w:bCs/>
          <w:color w:val="3A7C22" w:themeColor="accent6" w:themeShade="BF"/>
          <w:sz w:val="28"/>
          <w:szCs w:val="28"/>
        </w:rPr>
        <w:br w:type="page"/>
      </w:r>
    </w:p>
    <w:sectPr w:rsidR="001A4818">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CC78E" w14:textId="77777777" w:rsidR="00D51104" w:rsidRDefault="00D51104">
      <w:pPr>
        <w:spacing w:after="0" w:line="240" w:lineRule="auto"/>
      </w:pPr>
    </w:p>
  </w:endnote>
  <w:endnote w:type="continuationSeparator" w:id="0">
    <w:p w14:paraId="2F77C1B9" w14:textId="77777777" w:rsidR="00D51104" w:rsidRDefault="00D511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C216" w14:textId="77777777" w:rsidR="00C01662" w:rsidRDefault="00C016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934846"/>
      <w:docPartObj>
        <w:docPartGallery w:val="Page Numbers (Bottom of Page)"/>
        <w:docPartUnique/>
      </w:docPartObj>
    </w:sdtPr>
    <w:sdtEndPr>
      <w:rPr>
        <w:noProof/>
      </w:rPr>
    </w:sdtEndPr>
    <w:sdtContent>
      <w:p w14:paraId="4568667E" w14:textId="7C7DBDEA" w:rsidR="00C01662" w:rsidRDefault="00C016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C17CF2" w14:textId="77777777" w:rsidR="00C01662" w:rsidRDefault="00C016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3F5B" w14:textId="77777777" w:rsidR="00C01662" w:rsidRDefault="00C01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ECEFD" w14:textId="77777777" w:rsidR="00D51104" w:rsidRDefault="00D51104">
      <w:pPr>
        <w:spacing w:after="0" w:line="240" w:lineRule="auto"/>
      </w:pPr>
    </w:p>
  </w:footnote>
  <w:footnote w:type="continuationSeparator" w:id="0">
    <w:p w14:paraId="07EA76EB" w14:textId="77777777" w:rsidR="00D51104" w:rsidRDefault="00D511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94397" w14:textId="77777777" w:rsidR="00C01662" w:rsidRDefault="00C016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D833" w14:textId="77777777" w:rsidR="00C01662" w:rsidRDefault="00C016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7075F" w14:textId="77777777" w:rsidR="00C01662" w:rsidRDefault="00C01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F66EF"/>
    <w:multiLevelType w:val="hybridMultilevel"/>
    <w:tmpl w:val="1F1A8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3754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4A"/>
    <w:rsid w:val="00000EA4"/>
    <w:rsid w:val="00087DE6"/>
    <w:rsid w:val="000B3B5B"/>
    <w:rsid w:val="000C6E77"/>
    <w:rsid w:val="000D4D14"/>
    <w:rsid w:val="000E05CD"/>
    <w:rsid w:val="000F3408"/>
    <w:rsid w:val="00104871"/>
    <w:rsid w:val="00126FCE"/>
    <w:rsid w:val="00150EC8"/>
    <w:rsid w:val="001A4818"/>
    <w:rsid w:val="001B23FE"/>
    <w:rsid w:val="001C27FB"/>
    <w:rsid w:val="0020108E"/>
    <w:rsid w:val="00201396"/>
    <w:rsid w:val="00231D78"/>
    <w:rsid w:val="002C37A3"/>
    <w:rsid w:val="002C74F5"/>
    <w:rsid w:val="002E24CA"/>
    <w:rsid w:val="0040561F"/>
    <w:rsid w:val="00416DEC"/>
    <w:rsid w:val="0044228A"/>
    <w:rsid w:val="004767F9"/>
    <w:rsid w:val="00496851"/>
    <w:rsid w:val="004E0952"/>
    <w:rsid w:val="00517C6A"/>
    <w:rsid w:val="00527F16"/>
    <w:rsid w:val="00552976"/>
    <w:rsid w:val="00557D16"/>
    <w:rsid w:val="00617AB6"/>
    <w:rsid w:val="006233A8"/>
    <w:rsid w:val="006D600B"/>
    <w:rsid w:val="006F73C7"/>
    <w:rsid w:val="00704267"/>
    <w:rsid w:val="0071462C"/>
    <w:rsid w:val="00764E0E"/>
    <w:rsid w:val="008147D1"/>
    <w:rsid w:val="00897266"/>
    <w:rsid w:val="008A1412"/>
    <w:rsid w:val="008A2EDB"/>
    <w:rsid w:val="008A5E3B"/>
    <w:rsid w:val="008C239A"/>
    <w:rsid w:val="008C5181"/>
    <w:rsid w:val="008D35DF"/>
    <w:rsid w:val="008E675A"/>
    <w:rsid w:val="008F6959"/>
    <w:rsid w:val="00915121"/>
    <w:rsid w:val="00932FE1"/>
    <w:rsid w:val="00973D4A"/>
    <w:rsid w:val="00985180"/>
    <w:rsid w:val="009F18DF"/>
    <w:rsid w:val="00A66870"/>
    <w:rsid w:val="00A97E71"/>
    <w:rsid w:val="00AA1FA4"/>
    <w:rsid w:val="00AB3033"/>
    <w:rsid w:val="00AD0BAA"/>
    <w:rsid w:val="00AF7CE0"/>
    <w:rsid w:val="00B04CDD"/>
    <w:rsid w:val="00B13E0F"/>
    <w:rsid w:val="00B84003"/>
    <w:rsid w:val="00BA7B7D"/>
    <w:rsid w:val="00BC0E37"/>
    <w:rsid w:val="00BE0562"/>
    <w:rsid w:val="00C01662"/>
    <w:rsid w:val="00C06781"/>
    <w:rsid w:val="00C81171"/>
    <w:rsid w:val="00CC3F63"/>
    <w:rsid w:val="00CF41DC"/>
    <w:rsid w:val="00D51104"/>
    <w:rsid w:val="00D57447"/>
    <w:rsid w:val="00D60BB8"/>
    <w:rsid w:val="00D77B23"/>
    <w:rsid w:val="00DF4B2E"/>
    <w:rsid w:val="00E561F3"/>
    <w:rsid w:val="00E57AC0"/>
    <w:rsid w:val="00E61275"/>
    <w:rsid w:val="00E772CD"/>
    <w:rsid w:val="00EA276E"/>
    <w:rsid w:val="00ED414C"/>
    <w:rsid w:val="00EE00B6"/>
    <w:rsid w:val="00F00BBF"/>
    <w:rsid w:val="00F04B4F"/>
    <w:rsid w:val="00F3646E"/>
    <w:rsid w:val="00F767B0"/>
    <w:rsid w:val="00F875F6"/>
    <w:rsid w:val="00F9021F"/>
    <w:rsid w:val="00FB4F14"/>
    <w:rsid w:val="00FC1D40"/>
    <w:rsid w:val="00FC6AFA"/>
    <w:rsid w:val="00FC7414"/>
    <w:rsid w:val="00FD0F1B"/>
    <w:rsid w:val="00FD331A"/>
    <w:rsid w:val="00FD398B"/>
    <w:rsid w:val="00FE6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50770"/>
  <w15:chartTrackingRefBased/>
  <w15:docId w15:val="{5FAFBFDA-A7CC-4A56-BBA1-8BD0C500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D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D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73D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D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D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D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D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D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D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D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D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73D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D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D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D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D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D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D4A"/>
    <w:rPr>
      <w:rFonts w:eastAsiaTheme="majorEastAsia" w:cstheme="majorBidi"/>
      <w:color w:val="272727" w:themeColor="text1" w:themeTint="D8"/>
    </w:rPr>
  </w:style>
  <w:style w:type="paragraph" w:styleId="Title">
    <w:name w:val="Title"/>
    <w:basedOn w:val="Normal"/>
    <w:next w:val="Normal"/>
    <w:link w:val="TitleChar"/>
    <w:uiPriority w:val="10"/>
    <w:qFormat/>
    <w:rsid w:val="00973D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D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D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D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D4A"/>
    <w:pPr>
      <w:spacing w:before="160"/>
      <w:jc w:val="center"/>
    </w:pPr>
    <w:rPr>
      <w:i/>
      <w:iCs/>
      <w:color w:val="404040" w:themeColor="text1" w:themeTint="BF"/>
    </w:rPr>
  </w:style>
  <w:style w:type="character" w:customStyle="1" w:styleId="QuoteChar">
    <w:name w:val="Quote Char"/>
    <w:basedOn w:val="DefaultParagraphFont"/>
    <w:link w:val="Quote"/>
    <w:uiPriority w:val="29"/>
    <w:rsid w:val="00973D4A"/>
    <w:rPr>
      <w:i/>
      <w:iCs/>
      <w:color w:val="404040" w:themeColor="text1" w:themeTint="BF"/>
    </w:rPr>
  </w:style>
  <w:style w:type="paragraph" w:styleId="ListParagraph">
    <w:name w:val="List Paragraph"/>
    <w:basedOn w:val="Normal"/>
    <w:uiPriority w:val="34"/>
    <w:qFormat/>
    <w:rsid w:val="00973D4A"/>
    <w:pPr>
      <w:ind w:left="720"/>
      <w:contextualSpacing/>
    </w:pPr>
  </w:style>
  <w:style w:type="character" w:styleId="IntenseEmphasis">
    <w:name w:val="Intense Emphasis"/>
    <w:basedOn w:val="DefaultParagraphFont"/>
    <w:uiPriority w:val="21"/>
    <w:qFormat/>
    <w:rsid w:val="00973D4A"/>
    <w:rPr>
      <w:i/>
      <w:iCs/>
      <w:color w:val="0F4761" w:themeColor="accent1" w:themeShade="BF"/>
    </w:rPr>
  </w:style>
  <w:style w:type="paragraph" w:styleId="IntenseQuote">
    <w:name w:val="Intense Quote"/>
    <w:basedOn w:val="Normal"/>
    <w:next w:val="Normal"/>
    <w:link w:val="IntenseQuoteChar"/>
    <w:uiPriority w:val="30"/>
    <w:qFormat/>
    <w:rsid w:val="00973D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D4A"/>
    <w:rPr>
      <w:i/>
      <w:iCs/>
      <w:color w:val="0F4761" w:themeColor="accent1" w:themeShade="BF"/>
    </w:rPr>
  </w:style>
  <w:style w:type="character" w:styleId="IntenseReference">
    <w:name w:val="Intense Reference"/>
    <w:basedOn w:val="DefaultParagraphFont"/>
    <w:uiPriority w:val="32"/>
    <w:qFormat/>
    <w:rsid w:val="00973D4A"/>
    <w:rPr>
      <w:b/>
      <w:bCs/>
      <w:smallCaps/>
      <w:color w:val="0F4761" w:themeColor="accent1" w:themeShade="BF"/>
      <w:spacing w:val="5"/>
    </w:rPr>
  </w:style>
  <w:style w:type="character" w:styleId="UnresolvedMention">
    <w:name w:val="Unresolved Mention"/>
    <w:basedOn w:val="DefaultParagraphFont"/>
    <w:uiPriority w:val="99"/>
    <w:semiHidden/>
    <w:unhideWhenUsed/>
    <w:rsid w:val="00973D4A"/>
    <w:rPr>
      <w:color w:val="605E5C"/>
      <w:shd w:val="clear" w:color="auto" w:fill="E1DFDD"/>
    </w:rPr>
  </w:style>
  <w:style w:type="character" w:styleId="Hyperlink">
    <w:name w:val="Hyperlink"/>
    <w:basedOn w:val="DefaultParagraphFont"/>
    <w:uiPriority w:val="99"/>
    <w:unhideWhenUsed/>
    <w:rsid w:val="00973D4A"/>
    <w:rPr>
      <w:color w:val="0000FF"/>
      <w:u w:val="single"/>
    </w:rPr>
  </w:style>
  <w:style w:type="character" w:styleId="FollowedHyperlink">
    <w:name w:val="FollowedHyperlink"/>
    <w:basedOn w:val="DefaultParagraphFont"/>
    <w:uiPriority w:val="99"/>
    <w:semiHidden/>
    <w:unhideWhenUsed/>
    <w:rsid w:val="00A97E71"/>
    <w:rPr>
      <w:color w:val="96607D" w:themeColor="followedHyperlink"/>
      <w:u w:val="single"/>
    </w:rPr>
  </w:style>
  <w:style w:type="paragraph" w:styleId="Header">
    <w:name w:val="header"/>
    <w:basedOn w:val="Normal"/>
    <w:link w:val="HeaderChar"/>
    <w:uiPriority w:val="99"/>
    <w:unhideWhenUsed/>
    <w:rsid w:val="00D60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BB8"/>
  </w:style>
  <w:style w:type="paragraph" w:styleId="Footer">
    <w:name w:val="footer"/>
    <w:basedOn w:val="Normal"/>
    <w:link w:val="FooterChar"/>
    <w:uiPriority w:val="99"/>
    <w:unhideWhenUsed/>
    <w:rsid w:val="00D60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BB8"/>
  </w:style>
  <w:style w:type="character" w:styleId="BookTitle">
    <w:name w:val="Book Title"/>
    <w:basedOn w:val="DefaultParagraphFont"/>
    <w:uiPriority w:val="33"/>
    <w:qFormat/>
    <w:rsid w:val="008F6959"/>
    <w:rPr>
      <w:b/>
      <w:bCs/>
      <w:i/>
      <w:iCs/>
      <w:spacing w:val="5"/>
    </w:rPr>
  </w:style>
  <w:style w:type="paragraph" w:styleId="Caption">
    <w:name w:val="caption"/>
    <w:basedOn w:val="Normal"/>
    <w:next w:val="Normal"/>
    <w:uiPriority w:val="35"/>
    <w:semiHidden/>
    <w:unhideWhenUsed/>
    <w:qFormat/>
    <w:rsid w:val="008F6959"/>
    <w:pPr>
      <w:spacing w:after="200" w:line="240" w:lineRule="auto"/>
    </w:pPr>
    <w:rPr>
      <w:i/>
      <w:iCs/>
      <w:color w:val="0E2841" w:themeColor="text2"/>
      <w:sz w:val="18"/>
      <w:szCs w:val="18"/>
    </w:rPr>
  </w:style>
  <w:style w:type="character" w:styleId="Emphasis">
    <w:name w:val="Emphasis"/>
    <w:basedOn w:val="DefaultParagraphFont"/>
    <w:uiPriority w:val="20"/>
    <w:qFormat/>
    <w:rsid w:val="008F6959"/>
    <w:rPr>
      <w:i/>
      <w:iCs/>
    </w:rPr>
  </w:style>
  <w:style w:type="paragraph" w:styleId="NoSpacing">
    <w:name w:val="No Spacing"/>
    <w:uiPriority w:val="1"/>
    <w:qFormat/>
    <w:rsid w:val="008F6959"/>
    <w:pPr>
      <w:spacing w:after="0" w:line="240" w:lineRule="auto"/>
    </w:pPr>
  </w:style>
  <w:style w:type="character" w:styleId="Strong">
    <w:name w:val="Strong"/>
    <w:basedOn w:val="DefaultParagraphFont"/>
    <w:uiPriority w:val="22"/>
    <w:qFormat/>
    <w:rsid w:val="008F6959"/>
    <w:rPr>
      <w:b/>
      <w:bCs/>
    </w:rPr>
  </w:style>
  <w:style w:type="character" w:styleId="SubtleEmphasis">
    <w:name w:val="Subtle Emphasis"/>
    <w:basedOn w:val="DefaultParagraphFont"/>
    <w:uiPriority w:val="19"/>
    <w:qFormat/>
    <w:rsid w:val="008F6959"/>
    <w:rPr>
      <w:i/>
      <w:iCs/>
      <w:color w:val="404040" w:themeColor="text1" w:themeTint="BF"/>
    </w:rPr>
  </w:style>
  <w:style w:type="character" w:styleId="SubtleReference">
    <w:name w:val="Subtle Reference"/>
    <w:basedOn w:val="DefaultParagraphFont"/>
    <w:uiPriority w:val="31"/>
    <w:qFormat/>
    <w:rsid w:val="008F6959"/>
    <w:rPr>
      <w:smallCaps/>
      <w:color w:val="5A5A5A" w:themeColor="text1" w:themeTint="A5"/>
    </w:rPr>
  </w:style>
  <w:style w:type="paragraph" w:styleId="TOCHeading">
    <w:name w:val="TOC Heading"/>
    <w:basedOn w:val="Heading1"/>
    <w:next w:val="Normal"/>
    <w:uiPriority w:val="39"/>
    <w:semiHidden/>
    <w:unhideWhenUsed/>
    <w:qFormat/>
    <w:rsid w:val="008F6959"/>
    <w:pPr>
      <w:spacing w:before="240" w:after="0"/>
      <w:outlineLvl w:val="9"/>
    </w:pPr>
    <w:rPr>
      <w:sz w:val="32"/>
      <w:szCs w:val="32"/>
    </w:rPr>
  </w:style>
  <w:style w:type="paragraph" w:styleId="Revision">
    <w:name w:val="Revision"/>
    <w:hidden/>
    <w:uiPriority w:val="99"/>
    <w:semiHidden/>
    <w:rsid w:val="00FC6AFA"/>
    <w:pPr>
      <w:spacing w:after="0" w:line="240" w:lineRule="auto"/>
    </w:pPr>
  </w:style>
  <w:style w:type="paragraph" w:styleId="NormalWeb">
    <w:name w:val="Normal (Web)"/>
    <w:basedOn w:val="Normal"/>
    <w:uiPriority w:val="99"/>
    <w:semiHidden/>
    <w:unhideWhenUsed/>
    <w:rsid w:val="004E095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nk.springer.com/article/10.1186/s12905-024-03082-3" TargetMode="External"/><Relationship Id="rId18" Type="http://schemas.openxmlformats.org/officeDocument/2006/relationships/hyperlink" Target="https://www.jahonline.org/article/S1054-139X(24)00555-X/fulltext" TargetMode="External"/><Relationship Id="rId26" Type="http://schemas.openxmlformats.org/officeDocument/2006/relationships/hyperlink" Target="https://onlinelibrary.wiley.com/doi/10.1111/andr.13764" TargetMode="External"/><Relationship Id="rId21" Type="http://schemas.openxmlformats.org/officeDocument/2006/relationships/hyperlink" Target="https://doi.org/10.1186/s12888-024-05875-0"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1186/s12905-024-03082-3" TargetMode="External"/><Relationship Id="rId17" Type="http://schemas.openxmlformats.org/officeDocument/2006/relationships/hyperlink" Target="https://ssrn.com/abstract=4744517" TargetMode="External"/><Relationship Id="rId25" Type="http://schemas.openxmlformats.org/officeDocument/2006/relationships/hyperlink" Target="https://doi.org/10.1057/s41286-025-00207-3"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obgyn.onlinelibrary.wiley.com/doi/full/10.1111/aogs.14718" TargetMode="External"/><Relationship Id="rId20" Type="http://schemas.openxmlformats.org/officeDocument/2006/relationships/hyperlink" Target="https://doi.org/10.1016/j.midw.2024.104233" TargetMode="External"/><Relationship Id="rId29" Type="http://schemas.openxmlformats.org/officeDocument/2006/relationships/hyperlink" Target="https://www.sciencedirect.com/science/article/pii/S24058440240966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165032724004701?casa_token=syYn3hCdtAQAAAAA:vJpC-r-q_WWeY2EIPs_wGWhCm0UzjWgth_tmXk7CqNzUHGihoPEMnDWfvJ9eYJxPxj7SzvylQQ" TargetMode="External"/><Relationship Id="rId24" Type="http://schemas.openxmlformats.org/officeDocument/2006/relationships/hyperlink" Target="https://bmcpregnancychildbirth.biomedcentral.com/articles/10.1186/s12884-024-07005-w"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11/aogs.14718" TargetMode="External"/><Relationship Id="rId23" Type="http://schemas.openxmlformats.org/officeDocument/2006/relationships/hyperlink" Target="https://doi.org/10.1186/s12884-024-07005-w" TargetMode="External"/><Relationship Id="rId28" Type="http://schemas.openxmlformats.org/officeDocument/2006/relationships/hyperlink" Target="https://journals.sagepub.com/doi/full/10.1177/17455057241242675" TargetMode="External"/><Relationship Id="rId36" Type="http://schemas.openxmlformats.org/officeDocument/2006/relationships/fontTable" Target="fontTable.xml"/><Relationship Id="rId10" Type="http://schemas.openxmlformats.org/officeDocument/2006/relationships/hyperlink" Target="https://doi.org/10.1016/j.jad.2024.03.054" TargetMode="External"/><Relationship Id="rId19" Type="http://schemas.openxmlformats.org/officeDocument/2006/relationships/hyperlink" Target="https://www.ncbi.nlm.nih.gov/pmc/articles/PMC8882666/"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1177/15579883241307795" TargetMode="External"/><Relationship Id="rId14" Type="http://schemas.openxmlformats.org/officeDocument/2006/relationships/hyperlink" Target="https://onlinelibrary.wiley.com/doi/10.1111/ssqu.13343" TargetMode="External"/><Relationship Id="rId22" Type="http://schemas.openxmlformats.org/officeDocument/2006/relationships/hyperlink" Target="https://pubmed.ncbi.nlm.nih.gov/38103265/" TargetMode="External"/><Relationship Id="rId27" Type="http://schemas.openxmlformats.org/officeDocument/2006/relationships/hyperlink" Target="https://doi.org/10.1177/17455057241242675"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doi.org/10.1016/j.jad.2024.03.054"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58"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 dockstate="right" visibility="0" width="350" row="3">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C37ADD95-A909-417C-BC3F-B9DE2F4D92E4}">
  <we:reference id="wa200008062" version="1.0.0.6" store="en-US" storeType="OMEX"/>
  <we:alternateReferences>
    <we:reference id="wa200008062" version="1.0.0.6" store="wa200008062"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D74B8EC-CD90-44A3-9758-4714573B955A}">
  <we:reference id="wa200006067" version="1.0.0.9" store="en-US" storeType="OMEX"/>
  <we:alternateReferences>
    <we:reference id="wa200006067" version="1.0.0.9" store="WA200006067" storeType="OMEX"/>
  </we:alternateReferences>
  <we:properties/>
  <we:bindings/>
  <we:snapshot xmlns:r="http://schemas.openxmlformats.org/officeDocument/2006/relationships"/>
  <we:extLst>
    <a:ext xmlns:a="http://schemas.openxmlformats.org/drawingml/2006/main" uri="{0858819E-0033-43BF-8937-05EC82904868}">
      <we:backgroundApp state="1" runtimeId=""/>
    </a:ext>
  </we:extLst>
</we:webextension>
</file>

<file path=word/webextensions/webextension3.xml><?xml version="1.0" encoding="utf-8"?>
<we:webextension xmlns:we="http://schemas.microsoft.com/office/webextensions/webextension/2010/11" id="{76F761D0-5CDC-4035-966F-32E79A789DB4}">
  <we:reference id="wa200007708" version="3.0.0.2" store="en-US" storeType="OMEX"/>
  <we:alternateReferences>
    <we:reference id="wa200007708" version="3.0.0.2" store="WA2000077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BEC65-76D3-4E34-B221-20ED38849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13</Pages>
  <Words>4499</Words>
  <Characters>26006</Characters>
  <Application>Microsoft Office Word</Application>
  <DocSecurity>0</DocSecurity>
  <Lines>2000</Lines>
  <Paragraphs>1605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Cathie Hughes, PhD</dc:creator>
  <cp:keywords/>
  <dc:description/>
  <cp:lastModifiedBy>Dr. Cathie Hughes, PhD</cp:lastModifiedBy>
  <cp:revision>7</cp:revision>
  <cp:lastPrinted>2026-07-18T17:03:00Z</cp:lastPrinted>
  <dcterms:created xsi:type="dcterms:W3CDTF">2026-07-17T21:05:00Z</dcterms:created>
  <dcterms:modified xsi:type="dcterms:W3CDTF">2026-07-18T17:35:00Z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fde7b87a-3829-44a1-8a99-443ac9e1b530</vt:lpwstr>
  </property>
</Properties>
</file>